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CellSpacing w:w="0" w:type="dxa"/>
        <w:tblInd w:w="-993" w:type="dxa"/>
        <w:tblCellMar>
          <w:left w:w="0" w:type="dxa"/>
          <w:right w:w="0" w:type="dxa"/>
        </w:tblCellMar>
        <w:tblLook w:val="04A0"/>
      </w:tblPr>
      <w:tblGrid>
        <w:gridCol w:w="60"/>
        <w:gridCol w:w="9864"/>
        <w:gridCol w:w="156"/>
      </w:tblGrid>
      <w:tr w:rsidR="009A5F9D" w:rsidRPr="009A5F9D" w:rsidTr="00E33473">
        <w:trPr>
          <w:trHeight w:val="30"/>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4"/>
                <w:szCs w:val="24"/>
                <w:lang w:eastAsia="el-GR"/>
              </w:rPr>
            </w:pPr>
          </w:p>
        </w:tc>
        <w:tc>
          <w:tcPr>
            <w:tcW w:w="9864" w:type="dxa"/>
            <w:vAlign w:val="center"/>
            <w:hideMark/>
          </w:tcPr>
          <w:p w:rsidR="009A5F9D" w:rsidRPr="009A5F9D" w:rsidRDefault="009A5F9D" w:rsidP="00E33473">
            <w:pPr>
              <w:spacing w:before="100" w:beforeAutospacing="1" w:after="100" w:afterAutospacing="1" w:line="30" w:lineRule="atLeast"/>
              <w:jc w:val="both"/>
              <w:rPr>
                <w:rFonts w:ascii="Times New Roman" w:eastAsia="Times New Roman" w:hAnsi="Times New Roman" w:cs="Times New Roman"/>
                <w:sz w:val="24"/>
                <w:szCs w:val="24"/>
                <w:lang w:eastAsia="el-GR"/>
              </w:rPr>
            </w:pPr>
            <w:r w:rsidRPr="009A5F9D">
              <w:rPr>
                <w:rFonts w:ascii="Verdana" w:eastAsia="Times New Roman" w:hAnsi="Verdana" w:cs="Times New Roman"/>
                <w:b/>
                <w:bCs/>
                <w:sz w:val="20"/>
                <w:szCs w:val="20"/>
                <w:lang w:eastAsia="el-GR"/>
              </w:rPr>
              <w:t xml:space="preserve">Apokalyptik im Religionsunterricht.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4"/>
                <w:szCs w:val="24"/>
                <w:lang w:eastAsia="el-GR"/>
              </w:rPr>
            </w:pP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1"/>
                <w:szCs w:val="24"/>
                <w:lang w:eastAsia="el-GR"/>
              </w:rPr>
            </w:pPr>
          </w:p>
        </w:tc>
        <w:tc>
          <w:tcPr>
            <w:tcW w:w="9864" w:type="dxa"/>
            <w:vAlign w:val="center"/>
            <w:hideMark/>
          </w:tcPr>
          <w:p w:rsidR="009A5F9D" w:rsidRPr="009A5F9D" w:rsidRDefault="009A5F9D" w:rsidP="00E33473">
            <w:pPr>
              <w:spacing w:after="0" w:line="0" w:lineRule="atLeast"/>
              <w:jc w:val="both"/>
              <w:rPr>
                <w:rFonts w:ascii="Times New Roman" w:eastAsia="Times New Roman" w:hAnsi="Times New Roman" w:cs="Times New Roman"/>
                <w:sz w:val="24"/>
                <w:szCs w:val="24"/>
                <w:lang w:eastAsia="el-GR"/>
              </w:rPr>
            </w:pPr>
            <w:r w:rsidRPr="009A5F9D">
              <w:rPr>
                <w:rFonts w:ascii="Verdana" w:eastAsia="Times New Roman" w:hAnsi="Verdana" w:cs="Times New Roman"/>
                <w:b/>
                <w:bCs/>
                <w:sz w:val="20"/>
                <w:szCs w:val="20"/>
                <w:lang w:eastAsia="el-GR"/>
              </w:rPr>
              <w:t>Neun Thesen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1"/>
                <w:szCs w:val="24"/>
                <w:lang w:eastAsia="el-GR"/>
              </w:rPr>
            </w:pP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Verdana" w:eastAsia="Times New Roman" w:hAnsi="Verdana" w:cs="Times New Roman"/>
                <w:b/>
                <w:bCs/>
                <w:i/>
                <w:iCs/>
                <w:sz w:val="20"/>
                <w:szCs w:val="20"/>
                <w:lang w:eastAsia="el-GR"/>
              </w:rPr>
              <w:t>Stefan Pauler</w:t>
            </w:r>
            <w:hyperlink r:id="rId4" w:anchor="*" w:history="1">
              <w:r w:rsidRPr="009A5F9D">
                <w:rPr>
                  <w:rFonts w:ascii="Verdana" w:eastAsia="Times New Roman" w:hAnsi="Verdana" w:cs="Times New Roman"/>
                  <w:b/>
                  <w:bCs/>
                  <w:i/>
                  <w:iCs/>
                  <w:color w:val="0000FF"/>
                  <w:sz w:val="20"/>
                  <w:u w:val="single"/>
                  <w:lang w:eastAsia="el-GR"/>
                </w:rPr>
                <w:t>*</w:t>
              </w:r>
            </w:hyperlink>
            <w:bookmarkStart w:id="0" w:name="Pauler"/>
            <w:bookmarkEnd w:id="0"/>
            <w:r w:rsidRPr="009A5F9D">
              <w:rPr>
                <w:rFonts w:ascii="Verdana" w:eastAsia="Times New Roman" w:hAnsi="Verdana" w:cs="Times New Roman"/>
                <w:b/>
                <w:bCs/>
                <w:i/>
                <w:iCs/>
                <w:sz w:val="20"/>
                <w:szCs w:val="20"/>
                <w:lang w:eastAsia="el-GR"/>
              </w:rPr>
              <w:t xml:space="preserve"> (</w:t>
            </w:r>
            <w:r w:rsidRPr="009A5F9D">
              <w:rPr>
                <w:rFonts w:ascii="Verdana" w:eastAsia="Times New Roman" w:hAnsi="Verdana" w:cs="Times New Roman"/>
                <w:b/>
                <w:bCs/>
                <w:i/>
                <w:iCs/>
                <w:sz w:val="20"/>
                <w:lang w:eastAsia="el-GR"/>
              </w:rPr>
              <w:t>14.01.2002</w:t>
            </w:r>
            <w:r w:rsidRPr="009A5F9D">
              <w:rPr>
                <w:rFonts w:ascii="Verdana" w:eastAsia="Times New Roman" w:hAnsi="Verdana" w:cs="Times New Roman"/>
                <w:b/>
                <w:bCs/>
                <w:i/>
                <w:iCs/>
                <w:sz w:val="20"/>
                <w:szCs w:val="20"/>
                <w:lang w:eastAsia="el-GR"/>
              </w:rPr>
              <w: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Verdana" w:eastAsia="Times New Roman" w:hAnsi="Verdana" w:cs="Times New Roman"/>
                <w:sz w:val="20"/>
                <w:szCs w:val="20"/>
                <w:lang w:val="de-DE" w:eastAsia="el-GR"/>
              </w:rPr>
              <w:t xml:space="preserve">Ziel der folgenden Ausführungen ist es nicht, eine Lehrplaneinheit zu dem Thema “Christliche Apokalyptik” zu erstellen. Es geht viel mehr darum, Grundsätze für den Einsatz apokalyptischer Themen im Unterricht herauszuarbeiten und Methoden zu benennen, wie diese Themen im RU umgesetzt werden können. </w:t>
            </w:r>
            <w:r w:rsidRPr="009A5F9D">
              <w:rPr>
                <w:rFonts w:ascii="Verdana" w:eastAsia="Times New Roman" w:hAnsi="Verdana" w:cs="Times New Roman"/>
                <w:sz w:val="20"/>
                <w:szCs w:val="20"/>
                <w:lang w:eastAsia="el-GR"/>
              </w:rPr>
              <w:t>Dies geschieht in Form von Thesen: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b/>
                <w:bCs/>
                <w:sz w:val="20"/>
                <w:szCs w:val="20"/>
                <w:lang w:val="de-DE" w:eastAsia="el-GR"/>
              </w:rPr>
              <w:t>These 1: (Christliche) Apokalyptik gehört in den Lehrplan.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 xml:space="preserve">SchülerInnen verfügen am Ende der Sekundarstufe I über die psychologischen Grundvoraussetzungen für eine Behandlung der christlichen Apokalyptik und ihrer möglichen Wurzeln. Da sie in ihrer Lebenswelt häufig säkularisierter Apokalyptik begegnen, sind ihnen apokalyptische Stoffe nicht fremd, wobei bei ihnen aber ein verzerrtes, auf Weltuntergangsvorstellungen beschränktes Bild der Apokalyptik vorherrscht. Das stellt eine massive Motivreduktion dar, da das Hoffnungspotenzial, das der Apokalyptik zu </w:t>
            </w:r>
            <w:proofErr w:type="gramStart"/>
            <w:r w:rsidRPr="009A5F9D">
              <w:rPr>
                <w:rFonts w:ascii="Verdana" w:eastAsia="Times New Roman" w:hAnsi="Verdana" w:cs="Times New Roman"/>
                <w:sz w:val="20"/>
                <w:szCs w:val="20"/>
                <w:lang w:val="de-DE" w:eastAsia="el-GR"/>
              </w:rPr>
              <w:t>eigen</w:t>
            </w:r>
            <w:proofErr w:type="gramEnd"/>
            <w:r w:rsidRPr="009A5F9D">
              <w:rPr>
                <w:rFonts w:ascii="Verdana" w:eastAsia="Times New Roman" w:hAnsi="Verdana" w:cs="Times New Roman"/>
                <w:sz w:val="20"/>
                <w:szCs w:val="20"/>
                <w:lang w:val="de-DE" w:eastAsia="el-GR"/>
              </w:rPr>
              <w:t xml:space="preserve"> ist, verschwiegen wird. Dabei sind es gerade diese Hoffnungsbilder, die eine Behandlung der Apokalyptik im Unterricht und eine Korrektur der säkularisierten Vorstellungen der SchülerInnen wünschenswert machen.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b/>
                <w:bCs/>
                <w:sz w:val="20"/>
                <w:szCs w:val="20"/>
                <w:lang w:val="de-DE" w:eastAsia="el-GR"/>
              </w:rPr>
              <w:t>These 2: Die Apokalyptik darf nicht den “Sekten” und kirchlichen Randgruppen überlassen werden.</w:t>
            </w:r>
            <w:r w:rsidRPr="009A5F9D">
              <w:rPr>
                <w:rFonts w:ascii="Times New Roman" w:eastAsia="Times New Roman" w:hAnsi="Times New Roman" w:cs="Times New Roman"/>
                <w:sz w:val="24"/>
                <w:szCs w:val="24"/>
                <w:lang w:val="de-DE" w:eastAsia="el-GR"/>
              </w:rPr>
              <w:t xml:space="preserve">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Apokalyptik ist ein Urelement des christlichen Glaubens. Dennoch führt sie in den Hauptkirchen ein Schattendasein. Das muss sich ändern, will man verhindern, dass im Stil der “Sektenpropaganda” Bibelstellen wörtlich wie Kochrezepte verwendet werden</w:t>
            </w:r>
            <w:bookmarkStart w:id="1" w:name="_ftnref1"/>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"_ftn1"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w:t>
            </w:r>
            <w:r w:rsidRPr="009A5F9D">
              <w:rPr>
                <w:rFonts w:ascii="Verdana" w:eastAsia="Times New Roman" w:hAnsi="Verdana" w:cs="Times New Roman"/>
                <w:sz w:val="20"/>
                <w:szCs w:val="20"/>
                <w:lang w:eastAsia="el-GR"/>
              </w:rPr>
              <w:fldChar w:fldCharType="end"/>
            </w:r>
            <w:bookmarkEnd w:id="1"/>
            <w:r w:rsidRPr="009A5F9D">
              <w:rPr>
                <w:rFonts w:ascii="Verdana" w:eastAsia="Times New Roman" w:hAnsi="Verdana" w:cs="Times New Roman"/>
                <w:sz w:val="20"/>
                <w:szCs w:val="20"/>
                <w:lang w:val="de-DE" w:eastAsia="el-GR"/>
              </w:rPr>
              <w:t>. Apokalypsen sind “Untergrund- und Trostliteratur” unterdrückter, gläubiger Menschen und dürfen nicht als Endfahrplan gelesen werden, was ihrer Aussageabsicht widerspricht. Solange die Hauptkirchen, auch im Religionsunterricht, die apokalyptische Botschaft nicht wieder mit neuem Leben füllen, wird sie eine “Domäne der Sekten” bleiben.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 xml:space="preserve">Im Unterricht lässt sich bei der Behandlung von “Sekten” bzw. Weltanschaungsgruppen (leider) meist auf aktuelles Material (Belagerung des “Mount Carmel” der Davidianer durch das FBI 1993, Massenselbstmord der Sonnentempler 1994, Giftgasanschlag in Tokio 1995, ...) zurückgreifen.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Verdana" w:eastAsia="Times New Roman" w:hAnsi="Verdana" w:cs="Times New Roman"/>
                <w:sz w:val="20"/>
                <w:szCs w:val="20"/>
                <w:lang w:val="de-DE" w:eastAsia="el-GR"/>
              </w:rPr>
              <w:t xml:space="preserve">An diesem Material oder an diversen Wachtturm-Traktaten der Zeugen Jehovas können die Schwarz-Weiß-Malerei, der Dualismus von Gut und Böse, die Erzeugung von Angst und die Vertretung von Absolutheitsansprüchen von den SchülerInnen erarbeitet werden. </w:t>
            </w:r>
            <w:r w:rsidRPr="009A5F9D">
              <w:rPr>
                <w:rFonts w:ascii="Verdana" w:eastAsia="Times New Roman" w:hAnsi="Verdana" w:cs="Times New Roman"/>
                <w:sz w:val="20"/>
                <w:szCs w:val="20"/>
                <w:lang w:eastAsia="el-GR"/>
              </w:rPr>
              <w:t>Diese sind seitens der biblischen Apokalyptik kritisch zu hinterfragen.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b/>
                <w:bCs/>
                <w:sz w:val="20"/>
                <w:szCs w:val="20"/>
                <w:lang w:val="de-DE" w:eastAsia="el-GR"/>
              </w:rPr>
              <w:t>These 3: Eine Behandlung der (christlichen) Apokalyptik im Unterricht ist nicht einfach.</w:t>
            </w:r>
            <w:r w:rsidRPr="009A5F9D">
              <w:rPr>
                <w:rFonts w:ascii="Times New Roman" w:eastAsia="Times New Roman" w:hAnsi="Times New Roman" w:cs="Times New Roman"/>
                <w:sz w:val="24"/>
                <w:szCs w:val="24"/>
                <w:lang w:val="de-DE" w:eastAsia="el-GR"/>
              </w:rPr>
              <w:t xml:space="preserve">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Die Argumente, die gegen eine Behandlung der Apokalyptik sprechen, dürfen nicht ignoriert werden. Statt Angst zu überwinden, kann sie umgekehrt auch Angst erzeugen. Die Apokalyptik darf nicht zu einem Resonanzboden für Angstfantasien oder die Lust am Schrecken gemacht werden</w:t>
            </w:r>
            <w:bookmarkStart w:id="2" w:name="_ftnref2"/>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"_ftn2"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[2]</w:t>
            </w:r>
            <w:r w:rsidRPr="009A5F9D">
              <w:rPr>
                <w:rFonts w:ascii="Verdana" w:eastAsia="Times New Roman" w:hAnsi="Verdana" w:cs="Times New Roman"/>
                <w:sz w:val="20"/>
                <w:szCs w:val="20"/>
                <w:lang w:eastAsia="el-GR"/>
              </w:rPr>
              <w:fldChar w:fldCharType="end"/>
            </w:r>
            <w:bookmarkEnd w:id="2"/>
            <w:r w:rsidRPr="009A5F9D">
              <w:rPr>
                <w:rFonts w:ascii="Verdana" w:eastAsia="Times New Roman" w:hAnsi="Verdana" w:cs="Times New Roman"/>
                <w:sz w:val="20"/>
                <w:szCs w:val="20"/>
                <w:lang w:val="de-DE" w:eastAsia="el-GR"/>
              </w:rPr>
              <w:t>. Hier ist ein sensibles Vorgehen seitens der Lehrperson notwendig. Des Weiteren ist zu beachten, dass Apokalypsen Bücher ihrer Zeit sind, die in dieser Zeit und für diese Zeit geschrieben wurden, nicht für spätere Generationen in der Zukunft oder sogar der Endzeit. Sie müssen in ihrem eigenen zeitgeschichtlichen Hintergrund gesehen werden. Wörtliches Verständnis und Aussageabsicht müssen getrennt werden. Existenzielle Bezüge zu den SchülerInnen müssen transparent gemacht werden. Das Evangelium ist die Basis, auf der man christliche Apokalypsen zu interpretieren hat.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Dementsprechend könnte eine Behandlung des Weltgerichtes nach Mt folgendermaßen aussehen: Die SchülerInnen bekommen eine künstlerische Weltgerichtsdarstellung</w:t>
            </w:r>
            <w:bookmarkStart w:id="3" w:name="_ftnref3"/>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"_ftn3"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[3]</w:t>
            </w:r>
            <w:r w:rsidRPr="009A5F9D">
              <w:rPr>
                <w:rFonts w:ascii="Verdana" w:eastAsia="Times New Roman" w:hAnsi="Verdana" w:cs="Times New Roman"/>
                <w:sz w:val="20"/>
                <w:szCs w:val="20"/>
                <w:lang w:eastAsia="el-GR"/>
              </w:rPr>
              <w:fldChar w:fldCharType="end"/>
            </w:r>
            <w:bookmarkEnd w:id="3"/>
            <w:r w:rsidRPr="009A5F9D">
              <w:rPr>
                <w:rFonts w:ascii="Verdana" w:eastAsia="Times New Roman" w:hAnsi="Verdana" w:cs="Times New Roman"/>
                <w:sz w:val="20"/>
                <w:szCs w:val="20"/>
                <w:lang w:val="de-DE" w:eastAsia="el-GR"/>
              </w:rPr>
              <w:t xml:space="preserve"> und den Bibeltext Mt 25,31-46 vorgelegt. Diese beiden Medien sollen dann von den SchülerInnen in Kleingruppenarbeit in Beziehung zueinander gesetzt werden. Im Anschluss soll eine Diskussion stattfinden, was apokalyptische Bilderwelt und was die Aussageabsicht  des Textes ist, die zu dem Ergebnis führt, dass die bildhafte Darstellung einem wörtlichen Verständnis folgt und dieses im wahrsten Sinne des Wortes ausmalt, wohingegen die Aussageabsicht des Textes tiefer geht </w:t>
            </w:r>
            <w:r w:rsidRPr="009A5F9D">
              <w:rPr>
                <w:rFonts w:ascii="Verdana" w:eastAsia="Times New Roman" w:hAnsi="Verdana" w:cs="Times New Roman"/>
                <w:sz w:val="20"/>
                <w:szCs w:val="20"/>
                <w:lang w:val="de-DE" w:eastAsia="el-GR"/>
              </w:rPr>
              <w:lastRenderedPageBreak/>
              <w:t xml:space="preserve">und das gegenwärtige Verhältnis der Menschen zu Gott aufdeckt.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lastRenderedPageBreak/>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lastRenderedPageBreak/>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b/>
                <w:bCs/>
                <w:sz w:val="20"/>
                <w:szCs w:val="20"/>
                <w:lang w:val="de-DE" w:eastAsia="el-GR"/>
              </w:rPr>
              <w:t>These 4: Apokalyptik im Unterricht muss immer einen Bezug zu der Lebenswelt der SchülerInnen haben.</w:t>
            </w:r>
            <w:r w:rsidRPr="009A5F9D">
              <w:rPr>
                <w:rFonts w:ascii="Times New Roman" w:eastAsia="Times New Roman" w:hAnsi="Times New Roman" w:cs="Times New Roman"/>
                <w:sz w:val="24"/>
                <w:szCs w:val="24"/>
                <w:lang w:val="de-DE" w:eastAsia="el-GR"/>
              </w:rPr>
              <w:t xml:space="preserve">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Rupp beklagt bei seinem Ansatz der Behandlung der Offenbarung des Johannes im Unterricht, dass die historisch-kritische Rekonstruktion des ursprünglichen Textsinnes die Texte erst so richtig vergangen macht und bei den SchülerInnen Langeweile erzeugt. Apokalyptische Texte sollen über elementare Fragen der SchülerInnen erschlossen werden, damit diese ihre eigenen Lebenserfahrungen und Lebensdeutungen mit einbringen können</w:t>
            </w:r>
            <w:bookmarkStart w:id="4" w:name="_ftnref4"/>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"_ftn4"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[4]</w:t>
            </w:r>
            <w:r w:rsidRPr="009A5F9D">
              <w:rPr>
                <w:rFonts w:ascii="Verdana" w:eastAsia="Times New Roman" w:hAnsi="Verdana" w:cs="Times New Roman"/>
                <w:sz w:val="20"/>
                <w:szCs w:val="20"/>
                <w:lang w:eastAsia="el-GR"/>
              </w:rPr>
              <w:fldChar w:fldCharType="end"/>
            </w:r>
            <w:bookmarkEnd w:id="4"/>
            <w:r w:rsidRPr="009A5F9D">
              <w:rPr>
                <w:rFonts w:ascii="Verdana" w:eastAsia="Times New Roman" w:hAnsi="Verdana" w:cs="Times New Roman"/>
                <w:sz w:val="20"/>
                <w:szCs w:val="20"/>
                <w:lang w:val="de-DE" w:eastAsia="el-GR"/>
              </w:rPr>
              <w:t>. In eine ähnliche Richtung geht die Forderung Biesinger/ Hänles, dass die anthropologische Bedeutung eschatologischer Vorstellungen deutlich gemacht werden muss. Die Eschatologie muss ihre Relevanz für das “Hier” und “Jetzt” aufweisen, da sie sonst keinen Raum im gelebten Leben der Menschen mehr vorfinden wird</w:t>
            </w:r>
            <w:bookmarkStart w:id="5" w:name="_ftnref5"/>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"_ftn5"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[5]</w:t>
            </w:r>
            <w:r w:rsidRPr="009A5F9D">
              <w:rPr>
                <w:rFonts w:ascii="Verdana" w:eastAsia="Times New Roman" w:hAnsi="Verdana" w:cs="Times New Roman"/>
                <w:sz w:val="20"/>
                <w:szCs w:val="20"/>
                <w:lang w:eastAsia="el-GR"/>
              </w:rPr>
              <w:fldChar w:fldCharType="end"/>
            </w:r>
            <w:bookmarkEnd w:id="5"/>
            <w:r w:rsidRPr="009A5F9D">
              <w:rPr>
                <w:rFonts w:ascii="Verdana" w:eastAsia="Times New Roman" w:hAnsi="Verdana" w:cs="Times New Roman"/>
                <w:sz w:val="20"/>
                <w:szCs w:val="20"/>
                <w:lang w:val="de-DE" w:eastAsia="el-GR"/>
              </w:rPr>
              <w:t>. Es gilt aufzuweisen, dass die religiösen Formeln einen Mehrwert für das Leben besitzen.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Eine den Jugendlichen gerechte Verkündigung muss in deren Leben ansetzen, deren Ängste wahr-, ernst- und annehmen, da diese Ängste der Jugendlichen ein existenzieller Anknüpfungspunkt für die apokalyptische Vorstellungswelt des Christentums sind</w:t>
            </w:r>
            <w:bookmarkStart w:id="6" w:name="_ftnref6"/>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"_ftn6"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[6]</w:t>
            </w:r>
            <w:r w:rsidRPr="009A5F9D">
              <w:rPr>
                <w:rFonts w:ascii="Verdana" w:eastAsia="Times New Roman" w:hAnsi="Verdana" w:cs="Times New Roman"/>
                <w:sz w:val="20"/>
                <w:szCs w:val="20"/>
                <w:lang w:eastAsia="el-GR"/>
              </w:rPr>
              <w:fldChar w:fldCharType="end"/>
            </w:r>
            <w:bookmarkEnd w:id="6"/>
            <w:r w:rsidRPr="009A5F9D">
              <w:rPr>
                <w:rFonts w:ascii="Verdana" w:eastAsia="Times New Roman" w:hAnsi="Verdana" w:cs="Times New Roman"/>
                <w:sz w:val="20"/>
                <w:szCs w:val="20"/>
                <w:lang w:val="de-DE" w:eastAsia="el-GR"/>
              </w:rPr>
              <w: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Kinofilme, Sciencefiction-Bücher und Rock/ Pop-Musik im Religionsunterricht ermöglichen eine Verknüpfung der Lebenswelt der Jugendlichen mit den Glaubensinhalten des christlichen Bekenntnisses. Methodisch bietet sich hier die Behandlung eines Ausschnittes eines bekannten Kinofilmes an. Am Beispiel von “Armageddon” lassen sich archaische Bilder und Symbole nachweisen (die düstere Darstellung des Meteoriten; die Panik im Volk; menschliche Ohnmacht angesichts der kosmischen Bedrohung; Feuer, das vom Himmel fällt; Bruce Willis als Erlöserfigur usw.). Anhand dieser Sequenz kann dann die Frage diskutiert werden, welchen eigenen Gefühlen und Ängsten die SchülerInnen in derartigen Schilderungen begegnen.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b/>
                <w:bCs/>
                <w:sz w:val="20"/>
                <w:szCs w:val="20"/>
                <w:lang w:val="de-DE" w:eastAsia="el-GR"/>
              </w:rPr>
              <w:t>These 5: Es gilt der eschatologische Vorbehalt.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Gottes Heil steht nicht mehr nur unmittelbar vor der Tür, es hat seinen Fuß bereits über die Schwelle gesetzt. Wir leben in der Spannung zwischen dem „Jetzt-schon“ und dem „Noch-nicht“. Jesus hat uns durch sein Leben und seine Verkündigung gezeigt, wie das Reich Gottes aussieht. Es verwirklicht sich schon jetzt überall, wo Menschen nach seinem Willen leben. Dennoch kann es von den Menschen alleine nicht vollständig heraufgeführt werden. Dazu bedarf es der Parusie Christi, der allein das Reich Gottes vollendet. Diese Perspektive von der Existenz des Reiches Gottes, wo wir es entstehen lassen, macht frei von der Passivität, die den ersten Apokalypsen zugeschrieben werden muss.</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Verdana" w:eastAsia="Times New Roman" w:hAnsi="Verdana" w:cs="Times New Roman"/>
                <w:sz w:val="20"/>
                <w:szCs w:val="20"/>
                <w:lang w:val="de-DE" w:eastAsia="el-GR"/>
              </w:rPr>
              <w:t>“Diese Vision vom Reich Gottes, das sichtbar und greifbar wurde im Reden und Handeln Jesu von Nazareth, ist das entscheidende christliche Kriterium für den humanitären Einsatz im Hier und Heute.”</w:t>
            </w:r>
            <w:bookmarkStart w:id="7" w:name="_ftnref7"/>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"_ftn7"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eastAsia="el-GR"/>
              </w:rPr>
              <w:t>[7]</w:t>
            </w:r>
            <w:r w:rsidRPr="009A5F9D">
              <w:rPr>
                <w:rFonts w:ascii="Verdana" w:eastAsia="Times New Roman" w:hAnsi="Verdana" w:cs="Times New Roman"/>
                <w:sz w:val="20"/>
                <w:szCs w:val="20"/>
                <w:lang w:eastAsia="el-GR"/>
              </w:rPr>
              <w:fldChar w:fldCharType="end"/>
            </w:r>
            <w:bookmarkEnd w:id="7"/>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Wir können das Reich Gottes nicht verwirklichen. Es kann aber in diese Welt hinein Zeichen ihrer Vollendung geben, die wir von Gott erwarten. Die auf Gottes Sieg über das Weltelend gerichtete Hoffnung macht frei von der Resignation, dass solches Bemühen gegen die Übermacht der Weltverhältnisse ja doch nichts ausrichtet und darum sinnlos sein könnte</w:t>
            </w:r>
            <w:bookmarkStart w:id="8" w:name="_ftnref8"/>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"_ftn8"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[8]</w:t>
            </w:r>
            <w:r w:rsidRPr="009A5F9D">
              <w:rPr>
                <w:rFonts w:ascii="Verdana" w:eastAsia="Times New Roman" w:hAnsi="Verdana" w:cs="Times New Roman"/>
                <w:sz w:val="20"/>
                <w:szCs w:val="20"/>
                <w:lang w:eastAsia="el-GR"/>
              </w:rPr>
              <w:fldChar w:fldCharType="end"/>
            </w:r>
            <w:bookmarkEnd w:id="8"/>
            <w:r w:rsidRPr="009A5F9D">
              <w:rPr>
                <w:rFonts w:ascii="Verdana" w:eastAsia="Times New Roman" w:hAnsi="Verdana" w:cs="Times New Roman"/>
                <w:sz w:val="20"/>
                <w:szCs w:val="20"/>
                <w:lang w:val="de-DE" w:eastAsia="el-GR"/>
              </w:rPr>
              <w: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Die folgende methodische Überlegung setzt voraus, dass die SchülerInnen mit dem Begriff Reich Gottes bereits vertraut sind. Anhand einer “Metapherübung” kann dann im Klassengespräch erörtert werden, wie sich die SchülerInnen das Reich Gottes vorstellen. Es können z.B. die Satzanfänge: Das Reich Gottes ist, wo ...; Das Reich Gottes ist, wenn ...; Das Reich Gottes ist wie als stummer Impuls an die Tafel geschrieben werden</w:t>
            </w:r>
            <w:bookmarkStart w:id="9" w:name="_ftnref9"/>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"_ftn9" \o "" </w:instrText>
            </w:r>
            <w:r w:rsidRPr="009A5F9D">
              <w:rPr>
                <w:rFonts w:ascii="Verdana" w:eastAsia="Times New Roman" w:hAnsi="Verdana" w:cs="Times New Roman"/>
                <w:sz w:val="20"/>
                <w:szCs w:val="20"/>
                <w:lang w:eastAsia="el-GR"/>
              </w:rPr>
              <w:fldChar w:fldCharType="separate"/>
            </w:r>
            <w:r w:rsidRPr="00E33473">
              <w:rPr>
                <w:rFonts w:ascii="Verdana" w:eastAsia="Times New Roman" w:hAnsi="Verdana" w:cs="Times New Roman"/>
                <w:color w:val="0000FF"/>
                <w:sz w:val="20"/>
                <w:u w:val="single"/>
                <w:lang w:val="de-DE" w:eastAsia="el-GR"/>
              </w:rPr>
              <w:t>[9]</w:t>
            </w:r>
            <w:r w:rsidRPr="009A5F9D">
              <w:rPr>
                <w:rFonts w:ascii="Verdana" w:eastAsia="Times New Roman" w:hAnsi="Verdana" w:cs="Times New Roman"/>
                <w:sz w:val="20"/>
                <w:szCs w:val="20"/>
                <w:lang w:eastAsia="el-GR"/>
              </w:rPr>
              <w:fldChar w:fldCharType="end"/>
            </w:r>
            <w:bookmarkEnd w:id="9"/>
            <w:r w:rsidRPr="009A5F9D">
              <w:rPr>
                <w:rFonts w:ascii="Verdana" w:eastAsia="Times New Roman" w:hAnsi="Verdana" w:cs="Times New Roman"/>
                <w:sz w:val="20"/>
                <w:szCs w:val="20"/>
                <w:lang w:val="de-DE" w:eastAsia="el-GR"/>
              </w:rPr>
              <w:t>. SchülerInnen, die einen Gedanken dazu haben, dürfen sich Kreide nehmen und ihn an die Tafel schreiben. Eine Collage zu den Satzanfängen in Kleingruppen wäre ebenfalls denkbar. Ziel dieser Vorarbeit ist es, zu der Frage: “Können die Menschen das Reich Gottes auf Erden (alleine) schaffen?” zu gelangen.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b/>
                <w:bCs/>
                <w:sz w:val="20"/>
                <w:szCs w:val="20"/>
                <w:lang w:val="de-DE" w:eastAsia="el-GR"/>
              </w:rPr>
              <w:t>These 6: Apokalyptik ist eine Trostbotschaft.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 xml:space="preserve">Apokalypsen sind Trostbücher. Noch heute ist die apokalyptische Literatur “Trostliteratur für Geängstigte” und “Seelsorge” für die Verzweifelten in unserer Mitte und weit darüber hinaus. Die apokalyptische Rede von der Auferstehung der Toten kann SchülerInnen zum Trost werden, die einen geliebten Menschen verloren haben. Die Vorstellung eines neuen Jerusalems kann denjenige SchülerInnen Mut und befreiende Hoffnung  geben, die die Welt als bedrückend und lebensfeindlich erfahren. Die Sicht, dass diese Welt nicht alles ist, dass sie nicht das letzte Wort hat, kann trösten und motivieren, sie zu ändern, dafür zu sorgen, dass sie nicht immer so bleibt, </w:t>
            </w:r>
            <w:r w:rsidRPr="009A5F9D">
              <w:rPr>
                <w:rFonts w:ascii="Verdana" w:eastAsia="Times New Roman" w:hAnsi="Verdana" w:cs="Times New Roman"/>
                <w:sz w:val="20"/>
                <w:szCs w:val="20"/>
                <w:lang w:val="de-DE" w:eastAsia="el-GR"/>
              </w:rPr>
              <w:lastRenderedPageBreak/>
              <w:t>wie sie ist. Gott hat die Schöpfung und die Geschichte fest in der Hand, das Ende ist klar, auch wenn die Erfahrungen des Alltags das manchmal in Frage zu stellen scheinen.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lastRenderedPageBreak/>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lastRenderedPageBreak/>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Verdana" w:eastAsia="Times New Roman" w:hAnsi="Verdana" w:cs="Times New Roman"/>
                <w:sz w:val="20"/>
                <w:szCs w:val="20"/>
                <w:lang w:val="de-DE" w:eastAsia="el-GR"/>
              </w:rPr>
              <w:t>Als Einstieg in die apokalyptische Botschaft könnte den SchülerInnen in der vorhergehenden Stunde die Aufgabe gestellt werden, Geschichten, Märchen, Gedichte oder Ähnliches zu suchen, die sie für ermutigend halten. Unter dem Titel “Geschichten, die man anderen als Mutmachgeschichten schenken könnte”</w:t>
            </w:r>
            <w:bookmarkStart w:id="10" w:name="_ftnref10"/>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"_ftn10" \o "" </w:instrText>
            </w:r>
            <w:r w:rsidRPr="009A5F9D">
              <w:rPr>
                <w:rFonts w:ascii="Verdana" w:eastAsia="Times New Roman" w:hAnsi="Verdana" w:cs="Times New Roman"/>
                <w:sz w:val="20"/>
                <w:szCs w:val="20"/>
                <w:lang w:eastAsia="el-GR"/>
              </w:rPr>
              <w:fldChar w:fldCharType="separate"/>
            </w:r>
            <w:r w:rsidRPr="00E33473">
              <w:rPr>
                <w:rFonts w:ascii="Verdana" w:eastAsia="Times New Roman" w:hAnsi="Verdana" w:cs="Times New Roman"/>
                <w:color w:val="0000FF"/>
                <w:sz w:val="20"/>
                <w:u w:val="single"/>
                <w:lang w:val="de-DE" w:eastAsia="el-GR"/>
              </w:rPr>
              <w:t>[10]</w:t>
            </w:r>
            <w:r w:rsidRPr="009A5F9D">
              <w:rPr>
                <w:rFonts w:ascii="Verdana" w:eastAsia="Times New Roman" w:hAnsi="Verdana" w:cs="Times New Roman"/>
                <w:sz w:val="20"/>
                <w:szCs w:val="20"/>
                <w:lang w:eastAsia="el-GR"/>
              </w:rPr>
              <w:fldChar w:fldCharType="end"/>
            </w:r>
            <w:bookmarkEnd w:id="10"/>
            <w:r w:rsidRPr="009A5F9D">
              <w:rPr>
                <w:rFonts w:ascii="Verdana" w:eastAsia="Times New Roman" w:hAnsi="Verdana" w:cs="Times New Roman"/>
                <w:sz w:val="20"/>
                <w:szCs w:val="20"/>
                <w:lang w:val="de-DE" w:eastAsia="el-GR"/>
              </w:rPr>
              <w:t xml:space="preserve"> werden diese dann in der nächsten Stunde von Einzelnen oder von einer Gruppe vorgetragen. U. a. wird auch die Beschreibung des neuen Jerusalems (Offb 21,1-5) durch die Lehrerin oder den Lehrer vorgestellt. In PartnerInnen- oder Gruppenarbeit können dann im Anschluss die Parallelen zu den eigenen Texten und die trostmachenden Aussagen der Offenbarungsstelle besprochen werden. </w:t>
            </w:r>
            <w:r w:rsidRPr="009A5F9D">
              <w:rPr>
                <w:rFonts w:ascii="Verdana" w:eastAsia="Times New Roman" w:hAnsi="Verdana" w:cs="Times New Roman"/>
                <w:sz w:val="20"/>
                <w:szCs w:val="20"/>
                <w:lang w:eastAsia="el-GR"/>
              </w:rPr>
              <w:t>Schön wäre es, allen SchülerInnen diese Mutmachtexte zu kopieren.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Verdana" w:eastAsia="Times New Roman" w:hAnsi="Verdana" w:cs="Times New Roman"/>
                <w:b/>
                <w:bCs/>
                <w:sz w:val="20"/>
                <w:szCs w:val="20"/>
                <w:lang w:eastAsia="el-GR"/>
              </w:rPr>
              <w:t>These 7: Apokalyptik ist politisch.</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 xml:space="preserve">Apokalypsen sind Texte wider die Anpassung - Ärgernis für die, die sich in dieser Welt eingerichtet haben. In der Auseinandersetzung mit der christlichen Apokalyptik spielt die Kritik an den sozialen Verhältnissen eine wichtige Rolle. Sowohl die Befreiungstheologien als auch die neue politische Theologie verstehen die Apokalyptik als eine Zeitreflexion, </w:t>
            </w:r>
            <w:proofErr w:type="gramStart"/>
            <w:r w:rsidRPr="009A5F9D">
              <w:rPr>
                <w:rFonts w:ascii="Verdana" w:eastAsia="Times New Roman" w:hAnsi="Verdana" w:cs="Times New Roman"/>
                <w:sz w:val="20"/>
                <w:szCs w:val="20"/>
                <w:lang w:val="de-DE" w:eastAsia="el-GR"/>
              </w:rPr>
              <w:t>die ein</w:t>
            </w:r>
            <w:proofErr w:type="gramEnd"/>
            <w:r w:rsidRPr="009A5F9D">
              <w:rPr>
                <w:rFonts w:ascii="Verdana" w:eastAsia="Times New Roman" w:hAnsi="Verdana" w:cs="Times New Roman"/>
                <w:sz w:val="20"/>
                <w:szCs w:val="20"/>
                <w:lang w:val="de-DE" w:eastAsia="el-GR"/>
              </w:rPr>
              <w:t xml:space="preserve"> Widerstandspotenzial enthält</w:t>
            </w:r>
            <w:bookmarkStart w:id="11" w:name="_ftnref11"/>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"_ftn11" \o "" </w:instrText>
            </w:r>
            <w:r w:rsidRPr="009A5F9D">
              <w:rPr>
                <w:rFonts w:ascii="Verdana" w:eastAsia="Times New Roman" w:hAnsi="Verdana" w:cs="Times New Roman"/>
                <w:sz w:val="20"/>
                <w:szCs w:val="20"/>
                <w:lang w:eastAsia="el-GR"/>
              </w:rPr>
              <w:fldChar w:fldCharType="separate"/>
            </w:r>
            <w:r w:rsidRPr="00E33473">
              <w:rPr>
                <w:rFonts w:ascii="Verdana" w:eastAsia="Times New Roman" w:hAnsi="Verdana" w:cs="Times New Roman"/>
                <w:color w:val="0000FF"/>
                <w:sz w:val="20"/>
                <w:u w:val="single"/>
                <w:lang w:val="de-DE" w:eastAsia="el-GR"/>
              </w:rPr>
              <w:t>[11]</w:t>
            </w:r>
            <w:r w:rsidRPr="009A5F9D">
              <w:rPr>
                <w:rFonts w:ascii="Verdana" w:eastAsia="Times New Roman" w:hAnsi="Verdana" w:cs="Times New Roman"/>
                <w:sz w:val="20"/>
                <w:szCs w:val="20"/>
                <w:lang w:eastAsia="el-GR"/>
              </w:rPr>
              <w:fldChar w:fldCharType="end"/>
            </w:r>
            <w:bookmarkEnd w:id="11"/>
            <w:r w:rsidRPr="009A5F9D">
              <w:rPr>
                <w:rFonts w:ascii="Verdana" w:eastAsia="Times New Roman" w:hAnsi="Verdana" w:cs="Times New Roman"/>
                <w:sz w:val="20"/>
                <w:szCs w:val="20"/>
                <w:lang w:val="de-DE" w:eastAsia="el-GR"/>
              </w:rPr>
              <w: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Verdana" w:eastAsia="Times New Roman" w:hAnsi="Verdana" w:cs="Times New Roman"/>
                <w:sz w:val="20"/>
                <w:szCs w:val="20"/>
                <w:lang w:val="de-DE" w:eastAsia="el-GR"/>
              </w:rPr>
              <w:t xml:space="preserve">Die Theologien der Befreiung bezeichnen den Prozess der Beseitigung von Unterdrückung und schuldhaft verursachtem Elend nicht nur als Befreiung der Unterdrückten, sondern auch als die Befreiung der UnterdrückerInnen. </w:t>
            </w:r>
            <w:r w:rsidRPr="009A5F9D">
              <w:rPr>
                <w:rFonts w:ascii="Verdana" w:eastAsia="Times New Roman" w:hAnsi="Verdana" w:cs="Times New Roman"/>
                <w:sz w:val="20"/>
                <w:szCs w:val="20"/>
                <w:lang w:eastAsia="el-GR"/>
              </w:rPr>
              <w:t>Erst damit wird menschliche Gemeinschaft überhaupt möglich</w:t>
            </w:r>
            <w:bookmarkStart w:id="12" w:name="_ftnref12"/>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eastAsia="el-GR"/>
              </w:rPr>
              <w:instrText xml:space="preserve"> HYPERLINK "http://www.theophil-online.de/praxis/mfpraxi3.htm" \l "_ftn12"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eastAsia="el-GR"/>
              </w:rPr>
              <w:t>[12]</w:t>
            </w:r>
            <w:r w:rsidRPr="009A5F9D">
              <w:rPr>
                <w:rFonts w:ascii="Verdana" w:eastAsia="Times New Roman" w:hAnsi="Verdana" w:cs="Times New Roman"/>
                <w:sz w:val="20"/>
                <w:szCs w:val="20"/>
                <w:lang w:eastAsia="el-GR"/>
              </w:rPr>
              <w:fldChar w:fldCharType="end"/>
            </w:r>
            <w:bookmarkEnd w:id="12"/>
            <w:r w:rsidRPr="009A5F9D">
              <w:rPr>
                <w:rFonts w:ascii="Verdana" w:eastAsia="Times New Roman" w:hAnsi="Verdana" w:cs="Times New Roman"/>
                <w:sz w:val="20"/>
                <w:szCs w:val="20"/>
                <w:lang w:eastAsia="el-GR"/>
              </w:rPr>
              <w: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Ungerechte Strukturen, religiöse Verfolgung, Unterdrückung und fehlende Zivilcourage sind aktuelle politische Gegenstandsfelder, an denen seitens der Apokalyptik Kritik geübt werden kann und muss.</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 xml:space="preserve">Die Musikformen des Protestes und des Widerstandes, v.a. Jugendlicher, sind Rap und Punk. Es besteht die Möglichkeit gesellschaftskritische Lieder und/oder Lieder, die apokalyptisches Gedankengut transportieren, im Unterricht auf ihre politischen Zielsetzungen hin zu untersuchen. Dabei bietet es sich auch an, die SchülerInnen zu eigenen Raproduktionen anzuregen. Das könnte so aussehen, dass sie versuchen, eigene Texte gegen Unterdrückung und Hoffnungslosigkeit zu schreiben, diese in ein Reimschema bringen und zu einem spontanen Klatschrhythmus oder zu dem rhythmisch instrumentalen Part eines Techno-Stücks aufführen.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b/>
                <w:bCs/>
                <w:sz w:val="20"/>
                <w:szCs w:val="20"/>
                <w:lang w:val="de-DE" w:eastAsia="el-GR"/>
              </w:rPr>
              <w:t>These 8: Apokalyptik ist eine Vision von Gerechtigkeit.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 xml:space="preserve">Die apokalyptische Rede von Gerechtigkeit ist zugleich eine Rede vom Gericht. Die Weltgeschichte erweckt bei vielen Menschen eine echte, tief berechtigte Sehnsucht nach diesem Gericht, nach Aufrichtung des mit Füßen getretenen Rechts, nach ausgleichender Gerechtigkeit.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Der Gedanke der Wiedergutmachung für die Opfer (und die Bestrafung der Täter) knüpft wesentlich an das Gerechtigkeitsgefühl vieler junger Menschen an. Der unauslöschliche Gedanke, dass es eine Gerechtigkeit für die ungerecht Behandelten geben muss, ist ein Bezugspunkt der SchülerInnen zu der christlichen Apokalyptik</w:t>
            </w:r>
            <w:bookmarkStart w:id="13" w:name="_ftnref13"/>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"_ftn13" \o "" </w:instrText>
            </w:r>
            <w:r w:rsidRPr="009A5F9D">
              <w:rPr>
                <w:rFonts w:ascii="Verdana" w:eastAsia="Times New Roman" w:hAnsi="Verdana" w:cs="Times New Roman"/>
                <w:sz w:val="20"/>
                <w:szCs w:val="20"/>
                <w:lang w:eastAsia="el-GR"/>
              </w:rPr>
              <w:fldChar w:fldCharType="separate"/>
            </w:r>
            <w:r w:rsidRPr="00E33473">
              <w:rPr>
                <w:rFonts w:ascii="Verdana" w:eastAsia="Times New Roman" w:hAnsi="Verdana" w:cs="Times New Roman"/>
                <w:color w:val="0000FF"/>
                <w:sz w:val="20"/>
                <w:u w:val="single"/>
                <w:lang w:val="de-DE" w:eastAsia="el-GR"/>
              </w:rPr>
              <w:t>[13]</w:t>
            </w:r>
            <w:r w:rsidRPr="009A5F9D">
              <w:rPr>
                <w:rFonts w:ascii="Verdana" w:eastAsia="Times New Roman" w:hAnsi="Verdana" w:cs="Times New Roman"/>
                <w:sz w:val="20"/>
                <w:szCs w:val="20"/>
                <w:lang w:eastAsia="el-GR"/>
              </w:rPr>
              <w:fldChar w:fldCharType="end"/>
            </w:r>
            <w:bookmarkEnd w:id="13"/>
            <w:r w:rsidRPr="009A5F9D">
              <w:rPr>
                <w:rFonts w:ascii="Verdana" w:eastAsia="Times New Roman" w:hAnsi="Verdana" w:cs="Times New Roman"/>
                <w:sz w:val="20"/>
                <w:szCs w:val="20"/>
                <w:lang w:val="de-DE" w:eastAsia="el-GR"/>
              </w:rPr>
              <w: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Voraussetzung für Gottes Gerechtigkeit ist das Gericht. Gerade hier stellen sich den SchülerInnen elementare Fragen wie “Muss sich jeder einmal für sein Leben verantworten? Wie geht es nach dem jüngsten Gericht weiter? Gibt es im letzten Gericht nur Gerechtigkeit oder auch Liebe?” von selbst</w:t>
            </w:r>
            <w:bookmarkStart w:id="14" w:name="_ftnref14"/>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"_ftn14" \o "" </w:instrText>
            </w:r>
            <w:r w:rsidRPr="009A5F9D">
              <w:rPr>
                <w:rFonts w:ascii="Verdana" w:eastAsia="Times New Roman" w:hAnsi="Verdana" w:cs="Times New Roman"/>
                <w:sz w:val="20"/>
                <w:szCs w:val="20"/>
                <w:lang w:eastAsia="el-GR"/>
              </w:rPr>
              <w:fldChar w:fldCharType="separate"/>
            </w:r>
            <w:r w:rsidRPr="00E33473">
              <w:rPr>
                <w:rFonts w:ascii="Verdana" w:eastAsia="Times New Roman" w:hAnsi="Verdana" w:cs="Times New Roman"/>
                <w:color w:val="0000FF"/>
                <w:sz w:val="20"/>
                <w:u w:val="single"/>
                <w:lang w:val="de-DE" w:eastAsia="el-GR"/>
              </w:rPr>
              <w:t>[14]</w:t>
            </w:r>
            <w:r w:rsidRPr="009A5F9D">
              <w:rPr>
                <w:rFonts w:ascii="Verdana" w:eastAsia="Times New Roman" w:hAnsi="Verdana" w:cs="Times New Roman"/>
                <w:sz w:val="20"/>
                <w:szCs w:val="20"/>
                <w:lang w:eastAsia="el-GR"/>
              </w:rPr>
              <w:fldChar w:fldCharType="end"/>
            </w:r>
            <w:bookmarkEnd w:id="14"/>
            <w:r w:rsidRPr="009A5F9D">
              <w:rPr>
                <w:rFonts w:ascii="Verdana" w:eastAsia="Times New Roman" w:hAnsi="Verdana" w:cs="Times New Roman"/>
                <w:sz w:val="20"/>
                <w:szCs w:val="20"/>
                <w:lang w:val="de-DE" w:eastAsia="el-GR"/>
              </w:rPr>
              <w:t xml:space="preserve"> und </w:t>
            </w:r>
            <w:proofErr w:type="gramStart"/>
            <w:r w:rsidRPr="009A5F9D">
              <w:rPr>
                <w:rFonts w:ascii="Verdana" w:eastAsia="Times New Roman" w:hAnsi="Verdana" w:cs="Times New Roman"/>
                <w:sz w:val="20"/>
                <w:szCs w:val="20"/>
                <w:lang w:val="de-DE" w:eastAsia="el-GR"/>
              </w:rPr>
              <w:t>regen</w:t>
            </w:r>
            <w:proofErr w:type="gramEnd"/>
            <w:r w:rsidRPr="009A5F9D">
              <w:rPr>
                <w:rFonts w:ascii="Verdana" w:eastAsia="Times New Roman" w:hAnsi="Verdana" w:cs="Times New Roman"/>
                <w:sz w:val="20"/>
                <w:szCs w:val="20"/>
                <w:lang w:val="de-DE" w:eastAsia="el-GR"/>
              </w:rPr>
              <w:t xml:space="preserve"> zum eigenständigen Nachdenken an.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 xml:space="preserve">Dabei sollte transparent gemacht werden, dass es in der Bibel unterschiedliche Vorstellungen von Gericht und Weltende gibt, die sich nicht einfach harmonisieren lassen.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Verdana" w:eastAsia="Times New Roman" w:hAnsi="Verdana" w:cs="Times New Roman"/>
                <w:sz w:val="20"/>
                <w:szCs w:val="20"/>
                <w:lang w:val="de-DE" w:eastAsia="el-GR"/>
              </w:rPr>
              <w:t>Neben der Frage nach der Verantwortlichkeit für das eigene Leben sollten die positiven Aspekte des Gerichts für die Apokalyptiker betont werden, z.B. dass jeder Mensch das Recht auf ein gerechtes Urteil durch den göttlichen Richter hat - einem Richter, der in Jesus Mensch geworden ist und uns  “menschlich” richten wird. Jede angstmachende Annäherung an die Thematik ist zu unterlassen. “Entscheidend geht es um einen anthropologisch-personalen Ansatz, indem mit der Menschenfreundlichkeit Gottes vertraut gemacht wird, zugleich aber auch die Ernsthaftigkeit der eigenen Lebensentscheidung deutlich wird, freilich ohne Skrupulosität und Gewissensangst pädagogisch zu induzieren.”</w:t>
            </w:r>
            <w:bookmarkStart w:id="15" w:name="_ftnref15"/>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"_ftn15"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eastAsia="el-GR"/>
              </w:rPr>
              <w:t>[15]</w:t>
            </w:r>
            <w:r w:rsidRPr="009A5F9D">
              <w:rPr>
                <w:rFonts w:ascii="Verdana" w:eastAsia="Times New Roman" w:hAnsi="Verdana" w:cs="Times New Roman"/>
                <w:sz w:val="20"/>
                <w:szCs w:val="20"/>
                <w:lang w:eastAsia="el-GR"/>
              </w:rPr>
              <w:fldChar w:fldCharType="end"/>
            </w:r>
            <w:bookmarkEnd w:id="15"/>
            <w:r w:rsidRPr="009A5F9D">
              <w:rPr>
                <w:rFonts w:ascii="Verdana" w:eastAsia="Times New Roman" w:hAnsi="Verdana" w:cs="Times New Roman"/>
                <w:sz w:val="20"/>
                <w:szCs w:val="20"/>
                <w:lang w:eastAsia="el-GR"/>
              </w:rPr>
              <w:t xml:space="preserve">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 xml:space="preserve">Rupp hat für die Gerichtsszene in der Johannesoffenbarung einen interessanten  Unterrichtsvorschlag erarbeitet. Er lässt die SchülerInnen eine Gerichtsverhandlung im Himmel darstellen. Dabei wird über berühmte historische Persönlichkeiten (Hitler, Clinton, Lady Di, Mutter Theresa) Gericht gehalten. In Kleingruppenarbeit formulieren die SchülerInnen ein Urteil </w:t>
            </w:r>
            <w:r w:rsidRPr="009A5F9D">
              <w:rPr>
                <w:rFonts w:ascii="Verdana" w:eastAsia="Times New Roman" w:hAnsi="Verdana" w:cs="Times New Roman"/>
                <w:sz w:val="20"/>
                <w:szCs w:val="20"/>
                <w:lang w:val="de-DE" w:eastAsia="el-GR"/>
              </w:rPr>
              <w:lastRenderedPageBreak/>
              <w:t>über eine der Personen. Nach der Präsentation der Urteile soll gemeinsam nachgedacht werden, nach welchen Maßstäben gerichtet wurde. Die Urteile werden mit der Gerichtsszene in Offb 20 verglichen</w:t>
            </w:r>
            <w:bookmarkStart w:id="16" w:name="_ftnref16"/>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"_ftn16" \o "" </w:instrText>
            </w:r>
            <w:r w:rsidRPr="009A5F9D">
              <w:rPr>
                <w:rFonts w:ascii="Verdana" w:eastAsia="Times New Roman" w:hAnsi="Verdana" w:cs="Times New Roman"/>
                <w:sz w:val="20"/>
                <w:szCs w:val="20"/>
                <w:lang w:eastAsia="el-GR"/>
              </w:rPr>
              <w:fldChar w:fldCharType="separate"/>
            </w:r>
            <w:r w:rsidRPr="00E33473">
              <w:rPr>
                <w:rFonts w:ascii="Verdana" w:eastAsia="Times New Roman" w:hAnsi="Verdana" w:cs="Times New Roman"/>
                <w:color w:val="0000FF"/>
                <w:sz w:val="20"/>
                <w:u w:val="single"/>
                <w:lang w:val="de-DE" w:eastAsia="el-GR"/>
              </w:rPr>
              <w:t>[16]</w:t>
            </w:r>
            <w:r w:rsidRPr="009A5F9D">
              <w:rPr>
                <w:rFonts w:ascii="Verdana" w:eastAsia="Times New Roman" w:hAnsi="Verdana" w:cs="Times New Roman"/>
                <w:sz w:val="20"/>
                <w:szCs w:val="20"/>
                <w:lang w:eastAsia="el-GR"/>
              </w:rPr>
              <w:fldChar w:fldCharType="end"/>
            </w:r>
            <w:bookmarkEnd w:id="16"/>
            <w:r w:rsidRPr="009A5F9D">
              <w:rPr>
                <w:rFonts w:ascii="Verdana" w:eastAsia="Times New Roman" w:hAnsi="Verdana" w:cs="Times New Roman"/>
                <w:sz w:val="20"/>
                <w:szCs w:val="20"/>
                <w:lang w:val="de-DE" w:eastAsia="el-GR"/>
              </w:rPr>
              <w:t xml:space="preserve">. Auch die Frage nach einer All-Erlösung sollte hierbei gestellt werden, wenn sie nicht von alleine aufkommt. Außerdem sollte die Verantwortung für das eigene Leben thematisiert werden. </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lastRenderedPageBreak/>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lastRenderedPageBreak/>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b/>
                <w:bCs/>
                <w:sz w:val="20"/>
                <w:szCs w:val="20"/>
                <w:lang w:val="de-DE" w:eastAsia="el-GR"/>
              </w:rPr>
              <w:t>These 9: Apokalyptik ist Theologie der Hoffnung.</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9A5F9D">
              <w:rPr>
                <w:rFonts w:ascii="Verdana" w:eastAsia="Times New Roman" w:hAnsi="Verdana" w:cs="Times New Roman"/>
                <w:sz w:val="20"/>
                <w:szCs w:val="20"/>
                <w:lang w:val="de-DE" w:eastAsia="el-GR"/>
              </w:rPr>
              <w:t>“[‘]Was dürfen wir hoffen?’- diese eschatologische Grundfrage, deren Antwort in der Lehre von der Versöhnung zu suchen ist, sollte sich als roter Faden bei allen Teilthemen bemerkbar machen.”</w:t>
            </w:r>
            <w:bookmarkStart w:id="17" w:name="_ftnref17"/>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"_ftn17"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eastAsia="el-GR"/>
              </w:rPr>
              <w:t>[17]</w:t>
            </w:r>
            <w:r w:rsidRPr="009A5F9D">
              <w:rPr>
                <w:rFonts w:ascii="Verdana" w:eastAsia="Times New Roman" w:hAnsi="Verdana" w:cs="Times New Roman"/>
                <w:sz w:val="20"/>
                <w:szCs w:val="20"/>
                <w:lang w:eastAsia="el-GR"/>
              </w:rPr>
              <w:fldChar w:fldCharType="end"/>
            </w:r>
            <w:bookmarkEnd w:id="17"/>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Verdana" w:eastAsia="Times New Roman" w:hAnsi="Verdana" w:cs="Times New Roman"/>
                <w:sz w:val="20"/>
                <w:szCs w:val="20"/>
                <w:lang w:val="de-DE" w:eastAsia="el-GR"/>
              </w:rPr>
              <w:t>Deshalb „sollte vom apokalyptischen Geschehen eigentlich nur im Zusammenhang der Hoffnung, und zwar einer Hoffnung am Anfang und einer Hoffnung am Ende erzählt oder gesprochen werden.”</w:t>
            </w:r>
            <w:bookmarkStart w:id="18" w:name="_ftnref18"/>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"_ftn18"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eastAsia="el-GR"/>
              </w:rPr>
              <w:t>[18]</w:t>
            </w:r>
            <w:r w:rsidRPr="009A5F9D">
              <w:rPr>
                <w:rFonts w:ascii="Verdana" w:eastAsia="Times New Roman" w:hAnsi="Verdana" w:cs="Times New Roman"/>
                <w:sz w:val="20"/>
                <w:szCs w:val="20"/>
                <w:lang w:eastAsia="el-GR"/>
              </w:rPr>
              <w:fldChar w:fldCharType="end"/>
            </w:r>
            <w:bookmarkEnd w:id="18"/>
            <w:r w:rsidRPr="009A5F9D">
              <w:rPr>
                <w:rFonts w:ascii="Verdana" w:eastAsia="Times New Roman" w:hAnsi="Verdana" w:cs="Times New Roman"/>
                <w:sz w:val="20"/>
                <w:szCs w:val="20"/>
                <w:lang w:eastAsia="el-GR"/>
              </w:rPr>
              <w: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Verdana" w:eastAsia="Times New Roman" w:hAnsi="Verdana" w:cs="Times New Roman"/>
                <w:sz w:val="20"/>
                <w:szCs w:val="20"/>
                <w:lang w:val="de-DE" w:eastAsia="el-GR"/>
              </w:rPr>
              <w:t xml:space="preserve">Apokalypse bedeutet </w:t>
            </w:r>
            <w:r w:rsidRPr="009A5F9D">
              <w:rPr>
                <w:rFonts w:ascii="Verdana" w:eastAsia="Times New Roman" w:hAnsi="Verdana" w:cs="Times New Roman"/>
                <w:b/>
                <w:bCs/>
                <w:i/>
                <w:iCs/>
                <w:sz w:val="20"/>
                <w:szCs w:val="20"/>
                <w:lang w:val="de-DE" w:eastAsia="el-GR"/>
              </w:rPr>
              <w:t>nicht</w:t>
            </w:r>
            <w:r w:rsidRPr="009A5F9D">
              <w:rPr>
                <w:rFonts w:ascii="Verdana" w:eastAsia="Times New Roman" w:hAnsi="Verdana" w:cs="Times New Roman"/>
                <w:sz w:val="20"/>
                <w:szCs w:val="20"/>
                <w:lang w:val="de-DE" w:eastAsia="el-GR"/>
              </w:rPr>
              <w:t xml:space="preserve"> ein Ende mit Schrecken und ein Schrecken ohne Ende. “Es wäre schon viel, wenn wir den Schüler/ innen im RU vermitteln könnten, dass wir [Christinnen und] Christen uns in unserer Hoffnung durch nichts endgültig erschrecken lassen. Das könnte so etwas wie die Wiederentdeckung einer alten Wortbedeutung sein.”</w:t>
            </w:r>
            <w:bookmarkStart w:id="19" w:name="_ftnref19"/>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"_ftn19"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eastAsia="el-GR"/>
              </w:rPr>
              <w:t>[19]</w:t>
            </w:r>
            <w:r w:rsidRPr="009A5F9D">
              <w:rPr>
                <w:rFonts w:ascii="Verdana" w:eastAsia="Times New Roman" w:hAnsi="Verdana" w:cs="Times New Roman"/>
                <w:sz w:val="20"/>
                <w:szCs w:val="20"/>
                <w:lang w:eastAsia="el-GR"/>
              </w:rPr>
              <w:fldChar w:fldCharType="end"/>
            </w:r>
            <w:bookmarkEnd w:id="19"/>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Dieses, möglicherweise auf die alltägliche Schulpraxis ausgerichtetes, Ziel Spaeths greift für die Deskription des in der christlichen Apokalyptik beinhalteten Hoffnungspotenzials zu kurz. Das schon existente neue Jerusalem sagt uns in jeder Leidenssituation zu: Es gibt keine Zeit und keinen Raum, in der oder in dem kein Heil ist. Gott ist der wahre Herr dieser Welt. Wo jegliches Leid die Sprache nimmt, ist das neue Jerusalem ein Wort wider die dunkle Stille.</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Führt man eine ganze Unterrichtseinheit zu der christlichen Apokalyptik durch, können die SchülerInnen dazu aufgefordert werden, während dieser Zeit in einem gesonderten Heft ein Hoffnungstagebuch zu führen, in welchem sie jeden Tag etwas Hoffnungsvolles vermerken sollen. Dies können persönliche Erfahrungen und Erlebnisse, aber auch Zeitungsnachrichten, Gedichte usw. sein, denen sie im Lauf des Tages begegnet sind</w:t>
            </w:r>
            <w:bookmarkStart w:id="20" w:name="_ftnref20"/>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"_ftn20"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[20]</w:t>
            </w:r>
            <w:r w:rsidRPr="009A5F9D">
              <w:rPr>
                <w:rFonts w:ascii="Verdana" w:eastAsia="Times New Roman" w:hAnsi="Verdana" w:cs="Times New Roman"/>
                <w:sz w:val="20"/>
                <w:szCs w:val="20"/>
                <w:lang w:eastAsia="el-GR"/>
              </w:rPr>
              <w:fldChar w:fldCharType="end"/>
            </w:r>
            <w:bookmarkEnd w:id="20"/>
            <w:r w:rsidRPr="009A5F9D">
              <w:rPr>
                <w:rFonts w:ascii="Verdana" w:eastAsia="Times New Roman" w:hAnsi="Verdana" w:cs="Times New Roman"/>
                <w:sz w:val="20"/>
                <w:szCs w:val="20"/>
                <w:lang w:val="de-DE" w:eastAsia="el-GR"/>
              </w:rPr>
              <w: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val="de-DE" w:eastAsia="el-GR"/>
              </w:rPr>
              <w:t>Da kein biblisches Buch die Kunst des Abendlandes so stark geprägt hat wie die Johannesoffenbarung, empfiehlt es sich im Sinne des handlungsorientierten und entdeckenden Lernens nach Abschluss der Unterrichtseinheit eine Kirche mit Glasfenstern aufzusuchen, die Szenen aus der Offenbarung des Johannes (oder alternativ das Weltgericht nach Matthäus) darstellen. Können die SchülerInnen im Unterricht besprochene apokalyptische Bilder wiederfinden? Anschließend könnte hier die Aufgabe gestellt werden, selbst eine ein apokalyptisches Motiv aufgreifende Wandmalerei für eine moderne Kirche zu entwerfen.</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Pr>
                <w:rFonts w:ascii="Verdana" w:eastAsia="Times New Roman" w:hAnsi="Verdana" w:cs="Times New Roman"/>
                <w:noProof/>
                <w:color w:val="0000FF"/>
                <w:sz w:val="20"/>
                <w:szCs w:val="20"/>
                <w:lang w:eastAsia="el-GR"/>
              </w:rPr>
              <w:drawing>
                <wp:inline distT="0" distB="0" distL="0" distR="0">
                  <wp:extent cx="906145" cy="236855"/>
                  <wp:effectExtent l="19050" t="0" r="8255" b="0"/>
                  <wp:docPr id="1" name="Εικόνα 1" descr="http://www.theophil-online.de/Bilder/Sonstige/zur%FCck.gif">
                    <a:hlinkClick xmlns:a="http://schemas.openxmlformats.org/drawingml/2006/main" r:id="rId5"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ophil-online.de/Bilder/Sonstige/zur%FCck.gif">
                            <a:hlinkClick r:id="rId5" tgtFrame="&quot;_parent&quot;"/>
                          </pic:cNvPr>
                          <pic:cNvPicPr>
                            <a:picLocks noChangeAspect="1" noChangeArrowheads="1"/>
                          </pic:cNvPicPr>
                        </pic:nvPicPr>
                        <pic:blipFill>
                          <a:blip r:embed="rId6" cstate="print"/>
                          <a:srcRect/>
                          <a:stretch>
                            <a:fillRect/>
                          </a:stretch>
                        </pic:blipFill>
                        <pic:spPr bwMode="auto">
                          <a:xfrm>
                            <a:off x="0" y="0"/>
                            <a:ext cx="906145" cy="23685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0"/>
                <w:szCs w:val="20"/>
                <w:lang w:eastAsia="el-GR"/>
              </w:rPr>
              <w:drawing>
                <wp:inline distT="0" distB="0" distL="0" distR="0">
                  <wp:extent cx="1143000" cy="236855"/>
                  <wp:effectExtent l="19050" t="0" r="0" b="0"/>
                  <wp:docPr id="2" name="Εικόνα 2" descr="http://www.theophil-online.de/Bilder/Sonstige/nachoben.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ophil-online.de/Bilder/Sonstige/nachoben.gif">
                            <a:hlinkClick r:id="rId4"/>
                          </pic:cNvPr>
                          <pic:cNvPicPr>
                            <a:picLocks noChangeAspect="1" noChangeArrowheads="1"/>
                          </pic:cNvPicPr>
                        </pic:nvPicPr>
                        <pic:blipFill>
                          <a:blip r:embed="rId7" cstate="print"/>
                          <a:srcRect/>
                          <a:stretch>
                            <a:fillRect/>
                          </a:stretch>
                        </pic:blipFill>
                        <pic:spPr bwMode="auto">
                          <a:xfrm>
                            <a:off x="0" y="0"/>
                            <a:ext cx="1143000" cy="236855"/>
                          </a:xfrm>
                          <a:prstGeom prst="rect">
                            <a:avLst/>
                          </a:prstGeom>
                          <a:noFill/>
                          <a:ln w="9525">
                            <a:noFill/>
                            <a:miter lim="800000"/>
                            <a:headEnd/>
                            <a:tailEnd/>
                          </a:ln>
                        </pic:spPr>
                      </pic:pic>
                    </a:graphicData>
                  </a:graphic>
                </wp:inline>
              </w:drawing>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hyperlink r:id="rId8" w:anchor="Pauler" w:history="1">
              <w:r w:rsidRPr="009A5F9D">
                <w:rPr>
                  <w:rFonts w:ascii="Verdana" w:eastAsia="Times New Roman" w:hAnsi="Verdana" w:cs="Times New Roman"/>
                  <w:color w:val="0000FF"/>
                  <w:sz w:val="20"/>
                  <w:u w:val="single"/>
                  <w:lang w:val="de-DE" w:eastAsia="el-GR"/>
                </w:rPr>
                <w:t>*</w:t>
              </w:r>
            </w:hyperlink>
            <w:bookmarkStart w:id="21" w:name="*"/>
            <w:bookmarkEnd w:id="21"/>
            <w:r w:rsidRPr="009A5F9D">
              <w:rPr>
                <w:rFonts w:ascii="Verdana" w:eastAsia="Times New Roman" w:hAnsi="Verdana" w:cs="Times New Roman"/>
                <w:sz w:val="20"/>
                <w:szCs w:val="20"/>
                <w:lang w:val="de-DE" w:eastAsia="el-GR"/>
              </w:rPr>
              <w:t xml:space="preserve"> Geringfügig überarbeitetes Schlusskapitel der Wissenschaftlichen Hausarbeit von Stefan Pauler zum Thema </w:t>
            </w:r>
            <w:r w:rsidRPr="009A5F9D">
              <w:rPr>
                <w:rFonts w:ascii="Verdana" w:eastAsia="Times New Roman" w:hAnsi="Verdana" w:cs="Times New Roman"/>
                <w:i/>
                <w:iCs/>
                <w:sz w:val="20"/>
                <w:szCs w:val="20"/>
                <w:lang w:val="de-DE" w:eastAsia="el-GR"/>
              </w:rPr>
              <w:t>“Apokalyptik” - (k)ein Thema für die Schule?</w:t>
            </w:r>
            <w:r w:rsidRPr="009A5F9D">
              <w:rPr>
                <w:rFonts w:ascii="Verdana" w:eastAsia="Times New Roman" w:hAnsi="Verdana" w:cs="Times New Roman"/>
                <w:sz w:val="20"/>
                <w:szCs w:val="20"/>
                <w:lang w:val="de-DE" w:eastAsia="el-GR"/>
              </w:rPr>
              <w:t xml:space="preserve">, die im Fach Kath. Theologie an der PH Ludwigsburg verfasst wurde. Im Sommer 2001 wurde sie mit dem 2. </w:t>
            </w:r>
            <w:r w:rsidRPr="009A5F9D">
              <w:rPr>
                <w:rFonts w:ascii="Verdana" w:eastAsia="Times New Roman" w:hAnsi="Verdana" w:cs="Times New Roman"/>
                <w:sz w:val="20"/>
                <w:szCs w:val="20"/>
                <w:lang w:eastAsia="el-GR"/>
              </w:rPr>
              <w:t>Preis der Stadt Ludwigsburg ausgezeichnet.</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t> </w:t>
            </w:r>
          </w:p>
        </w:tc>
      </w:tr>
      <w:tr w:rsidR="009A5F9D" w:rsidRPr="009A5F9D" w:rsidTr="00E33473">
        <w:trPr>
          <w:trHeight w:val="240"/>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pict>
                <v:rect id="_x0000_i1025" style="width:0;height:1.5pt" o:hralign="center" o:hrstd="t" o:hr="t" fillcolor="#a0a0a0" stroked="f"/>
              </w:pic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r>
      <w:tr w:rsidR="009A5F9D" w:rsidRPr="009A5F9D" w:rsidTr="00E33473">
        <w:trPr>
          <w:trHeight w:val="9090"/>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sidRPr="009A5F9D">
              <w:rPr>
                <w:rFonts w:ascii="Times New Roman" w:eastAsia="Times New Roman" w:hAnsi="Times New Roman" w:cs="Times New Roman"/>
                <w:sz w:val="24"/>
                <w:szCs w:val="24"/>
                <w:lang w:eastAsia="el-GR"/>
              </w:rPr>
              <w:lastRenderedPageBreak/>
              <w:t> </w:t>
            </w:r>
          </w:p>
        </w:tc>
        <w:bookmarkStart w:id="22" w:name="_ftn1"/>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"_ftnref1"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w:t>
            </w:r>
            <w:r w:rsidRPr="009A5F9D">
              <w:rPr>
                <w:rFonts w:ascii="Verdana" w:eastAsia="Times New Roman" w:hAnsi="Verdana" w:cs="Times New Roman"/>
                <w:sz w:val="20"/>
                <w:szCs w:val="20"/>
                <w:lang w:eastAsia="el-GR"/>
              </w:rPr>
              <w:fldChar w:fldCharType="end"/>
            </w:r>
            <w:bookmarkEnd w:id="22"/>
            <w:r w:rsidRPr="009A5F9D">
              <w:rPr>
                <w:rFonts w:ascii="Verdana" w:eastAsia="Times New Roman" w:hAnsi="Verdana" w:cs="Times New Roman"/>
                <w:sz w:val="20"/>
                <w:szCs w:val="20"/>
                <w:lang w:val="de-DE" w:eastAsia="el-GR"/>
              </w:rPr>
              <w:t xml:space="preserve"> Vgl. Spaeth, Frieder, Befreiung aus dem Bann des Schreckens. Bildung an apokalyptischen Themen. In: Entwurf. Religionspädagogische Mitteilungen 2/ 1997, S. 5-7, hier S. 6.</w:t>
            </w:r>
          </w:p>
          <w:bookmarkStart w:id="23" w:name="_ftn2"/>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"_ftnref2"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[2]</w:t>
            </w:r>
            <w:r w:rsidRPr="009A5F9D">
              <w:rPr>
                <w:rFonts w:ascii="Verdana" w:eastAsia="Times New Roman" w:hAnsi="Verdana" w:cs="Times New Roman"/>
                <w:sz w:val="20"/>
                <w:szCs w:val="20"/>
                <w:lang w:eastAsia="el-GR"/>
              </w:rPr>
              <w:fldChar w:fldCharType="end"/>
            </w:r>
            <w:bookmarkEnd w:id="23"/>
            <w:r w:rsidRPr="009A5F9D">
              <w:rPr>
                <w:rFonts w:ascii="Verdana" w:eastAsia="Times New Roman" w:hAnsi="Verdana" w:cs="Times New Roman"/>
                <w:sz w:val="20"/>
                <w:szCs w:val="20"/>
                <w:lang w:val="de-DE" w:eastAsia="el-GR"/>
              </w:rPr>
              <w:t xml:space="preserve"> Vgl. Götz, Cornelia (u.a.), Bilder der Hoffnung - trotz Schrecken. In: Entwurf. Religionspädagogische Mitteilungen. 2/ 1997, 71-72.</w:t>
            </w:r>
          </w:p>
          <w:bookmarkStart w:id="24" w:name="_ftn3"/>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"_ftnref3"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[3]</w:t>
            </w:r>
            <w:r w:rsidRPr="009A5F9D">
              <w:rPr>
                <w:rFonts w:ascii="Verdana" w:eastAsia="Times New Roman" w:hAnsi="Verdana" w:cs="Times New Roman"/>
                <w:sz w:val="20"/>
                <w:szCs w:val="20"/>
                <w:lang w:eastAsia="el-GR"/>
              </w:rPr>
              <w:fldChar w:fldCharType="end"/>
            </w:r>
            <w:bookmarkEnd w:id="24"/>
            <w:r w:rsidRPr="009A5F9D">
              <w:rPr>
                <w:rFonts w:ascii="Verdana" w:eastAsia="Times New Roman" w:hAnsi="Verdana" w:cs="Times New Roman"/>
                <w:sz w:val="20"/>
                <w:szCs w:val="20"/>
                <w:lang w:val="de-DE" w:eastAsia="el-GR"/>
              </w:rPr>
              <w:t xml:space="preserve"> Z.B. Weltgericht, Bamberger Dom um 1230, in: Gesellschaft für das Schweizerische Landesmuseum (Hg.), Himmel-Hölle-Fegefeuer. Das Jenseits im Mittelalter. Zürich: Verlag Neue Zürcher Zeitung, 1994, 13.</w:t>
            </w:r>
          </w:p>
          <w:bookmarkStart w:id="25" w:name="_ftn4"/>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"_ftnref4"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[4]</w:t>
            </w:r>
            <w:r w:rsidRPr="009A5F9D">
              <w:rPr>
                <w:rFonts w:ascii="Verdana" w:eastAsia="Times New Roman" w:hAnsi="Verdana" w:cs="Times New Roman"/>
                <w:sz w:val="20"/>
                <w:szCs w:val="20"/>
                <w:lang w:eastAsia="el-GR"/>
              </w:rPr>
              <w:fldChar w:fldCharType="end"/>
            </w:r>
            <w:bookmarkEnd w:id="25"/>
            <w:r w:rsidRPr="009A5F9D">
              <w:rPr>
                <w:rFonts w:ascii="Verdana" w:eastAsia="Times New Roman" w:hAnsi="Verdana" w:cs="Times New Roman"/>
                <w:sz w:val="20"/>
                <w:szCs w:val="20"/>
                <w:lang w:val="de-DE" w:eastAsia="el-GR"/>
              </w:rPr>
              <w:t xml:space="preserve"> Vgl. Rupp, Hartmut, Elementare Fragen als Zugang zur Johannesapokalypse im Religionsunterricht. In: Glaube und Lernen 14 (1999) 63-79.</w:t>
            </w:r>
          </w:p>
          <w:bookmarkStart w:id="26" w:name="_ftn5"/>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"_ftnref5"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[5]</w:t>
            </w:r>
            <w:r w:rsidRPr="009A5F9D">
              <w:rPr>
                <w:rFonts w:ascii="Verdana" w:eastAsia="Times New Roman" w:hAnsi="Verdana" w:cs="Times New Roman"/>
                <w:sz w:val="20"/>
                <w:szCs w:val="20"/>
                <w:lang w:eastAsia="el-GR"/>
              </w:rPr>
              <w:fldChar w:fldCharType="end"/>
            </w:r>
            <w:bookmarkEnd w:id="26"/>
            <w:r w:rsidRPr="009A5F9D">
              <w:rPr>
                <w:rFonts w:ascii="Verdana" w:eastAsia="Times New Roman" w:hAnsi="Verdana" w:cs="Times New Roman"/>
                <w:sz w:val="20"/>
                <w:szCs w:val="20"/>
                <w:lang w:val="de-DE" w:eastAsia="el-GR"/>
              </w:rPr>
              <w:t>  Vgl. Biesinger, Albert/ Hänle, Joachim, Zwischen Horror und Erlösung. Gerichtsvorstellungen Jugendlicher als Herausforderung an religionspädagogische Theorie und Praxis. In: Theologische Quartalschrift 178 (1998) 208-228.</w:t>
            </w:r>
          </w:p>
          <w:bookmarkStart w:id="27" w:name="_ftn6"/>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"_ftnref6"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[6]</w:t>
            </w:r>
            <w:r w:rsidRPr="009A5F9D">
              <w:rPr>
                <w:rFonts w:ascii="Verdana" w:eastAsia="Times New Roman" w:hAnsi="Verdana" w:cs="Times New Roman"/>
                <w:sz w:val="20"/>
                <w:szCs w:val="20"/>
                <w:lang w:eastAsia="el-GR"/>
              </w:rPr>
              <w:fldChar w:fldCharType="end"/>
            </w:r>
            <w:bookmarkEnd w:id="27"/>
            <w:r w:rsidRPr="009A5F9D">
              <w:rPr>
                <w:rFonts w:ascii="Verdana" w:eastAsia="Times New Roman" w:hAnsi="Verdana" w:cs="Times New Roman"/>
                <w:sz w:val="20"/>
                <w:szCs w:val="20"/>
                <w:lang w:val="de-DE" w:eastAsia="el-GR"/>
              </w:rPr>
              <w:t>  Vgl. Polak, Regina, Apokalyptik - ein Thema für Jugendliche? In: Glaube und Lernen 14 (1999) 47-62.</w:t>
            </w:r>
          </w:p>
          <w:bookmarkStart w:id="28" w:name="_ftn7"/>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"_ftnref7"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[7]</w:t>
            </w:r>
            <w:r w:rsidRPr="009A5F9D">
              <w:rPr>
                <w:rFonts w:ascii="Verdana" w:eastAsia="Times New Roman" w:hAnsi="Verdana" w:cs="Times New Roman"/>
                <w:sz w:val="20"/>
                <w:szCs w:val="20"/>
                <w:lang w:eastAsia="el-GR"/>
              </w:rPr>
              <w:fldChar w:fldCharType="end"/>
            </w:r>
            <w:bookmarkEnd w:id="28"/>
            <w:r w:rsidRPr="009A5F9D">
              <w:rPr>
                <w:rFonts w:ascii="Verdana" w:eastAsia="Times New Roman" w:hAnsi="Verdana" w:cs="Times New Roman"/>
                <w:sz w:val="20"/>
                <w:szCs w:val="20"/>
                <w:lang w:val="de-DE" w:eastAsia="el-GR"/>
              </w:rPr>
              <w:t>  Biesinger / Hänle (wie Anm. 5) 221.</w:t>
            </w:r>
          </w:p>
          <w:bookmarkStart w:id="29" w:name="_ftn8"/>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"_ftnref8"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[8]</w:t>
            </w:r>
            <w:r w:rsidRPr="009A5F9D">
              <w:rPr>
                <w:rFonts w:ascii="Verdana" w:eastAsia="Times New Roman" w:hAnsi="Verdana" w:cs="Times New Roman"/>
                <w:sz w:val="20"/>
                <w:szCs w:val="20"/>
                <w:lang w:eastAsia="el-GR"/>
              </w:rPr>
              <w:fldChar w:fldCharType="end"/>
            </w:r>
            <w:bookmarkEnd w:id="29"/>
            <w:r w:rsidRPr="009A5F9D">
              <w:rPr>
                <w:rFonts w:ascii="Verdana" w:eastAsia="Times New Roman" w:hAnsi="Verdana" w:cs="Times New Roman"/>
                <w:sz w:val="20"/>
                <w:szCs w:val="20"/>
                <w:lang w:val="de-DE" w:eastAsia="el-GR"/>
              </w:rPr>
              <w:t>  Vgl. Joest, Wilfried, Dogmatik II. Der Weg Gottes mit dem Menschen. 3., durchges. Aufl. Göttingen: Vandenhoeck und Ruprecht, 1993, 641.</w:t>
            </w:r>
          </w:p>
          <w:bookmarkStart w:id="30" w:name="_ftn9"/>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"_ftnref9"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[9]</w:t>
            </w:r>
            <w:r w:rsidRPr="009A5F9D">
              <w:rPr>
                <w:rFonts w:ascii="Verdana" w:eastAsia="Times New Roman" w:hAnsi="Verdana" w:cs="Times New Roman"/>
                <w:sz w:val="20"/>
                <w:szCs w:val="20"/>
                <w:lang w:eastAsia="el-GR"/>
              </w:rPr>
              <w:fldChar w:fldCharType="end"/>
            </w:r>
            <w:bookmarkEnd w:id="30"/>
            <w:r w:rsidRPr="009A5F9D">
              <w:rPr>
                <w:rFonts w:ascii="Verdana" w:eastAsia="Times New Roman" w:hAnsi="Verdana" w:cs="Times New Roman"/>
                <w:sz w:val="20"/>
                <w:szCs w:val="20"/>
                <w:lang w:val="de-DE" w:eastAsia="el-GR"/>
              </w:rPr>
              <w:t>  Vgl. Götz u.a. (wie Anm. 2).</w:t>
            </w:r>
          </w:p>
          <w:bookmarkStart w:id="31" w:name="_ftn10"/>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"_ftnref10"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[10]</w:t>
            </w:r>
            <w:r w:rsidRPr="009A5F9D">
              <w:rPr>
                <w:rFonts w:ascii="Verdana" w:eastAsia="Times New Roman" w:hAnsi="Verdana" w:cs="Times New Roman"/>
                <w:sz w:val="20"/>
                <w:szCs w:val="20"/>
                <w:lang w:eastAsia="el-GR"/>
              </w:rPr>
              <w:fldChar w:fldCharType="end"/>
            </w:r>
            <w:bookmarkEnd w:id="31"/>
            <w:r w:rsidRPr="009A5F9D">
              <w:rPr>
                <w:rFonts w:ascii="Verdana" w:eastAsia="Times New Roman" w:hAnsi="Verdana" w:cs="Times New Roman"/>
                <w:sz w:val="20"/>
                <w:szCs w:val="20"/>
                <w:lang w:val="de-DE" w:eastAsia="el-GR"/>
              </w:rPr>
              <w:t>  Vgl. ebd.</w:t>
            </w:r>
          </w:p>
          <w:bookmarkStart w:id="32" w:name="_ftn11"/>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"_ftnref11"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[11]</w:t>
            </w:r>
            <w:r w:rsidRPr="009A5F9D">
              <w:rPr>
                <w:rFonts w:ascii="Verdana" w:eastAsia="Times New Roman" w:hAnsi="Verdana" w:cs="Times New Roman"/>
                <w:sz w:val="20"/>
                <w:szCs w:val="20"/>
                <w:lang w:eastAsia="el-GR"/>
              </w:rPr>
              <w:fldChar w:fldCharType="end"/>
            </w:r>
            <w:bookmarkEnd w:id="32"/>
            <w:r w:rsidRPr="009A5F9D">
              <w:rPr>
                <w:rFonts w:ascii="Verdana" w:eastAsia="Times New Roman" w:hAnsi="Verdana" w:cs="Times New Roman"/>
                <w:sz w:val="20"/>
                <w:szCs w:val="20"/>
                <w:lang w:val="de-DE" w:eastAsia="el-GR"/>
              </w:rPr>
              <w:t>  Vgl. Martig, Charles, Filmische Apokalypsen. Wie das Kino dem Ende der Zeit entgegenfiebert. In:</w:t>
            </w:r>
            <w:r w:rsidRPr="009A5F9D">
              <w:rPr>
                <w:rFonts w:ascii="Verdana" w:eastAsia="Times New Roman" w:hAnsi="Verdana" w:cs="Times New Roman"/>
                <w:b/>
                <w:bCs/>
                <w:sz w:val="20"/>
                <w:szCs w:val="20"/>
                <w:lang w:val="de-DE" w:eastAsia="el-GR"/>
              </w:rPr>
              <w:t xml:space="preserve"> </w:t>
            </w:r>
            <w:r w:rsidRPr="009A5F9D">
              <w:rPr>
                <w:rFonts w:ascii="Verdana" w:eastAsia="Times New Roman" w:hAnsi="Verdana" w:cs="Times New Roman"/>
                <w:sz w:val="20"/>
                <w:szCs w:val="20"/>
                <w:lang w:val="de-DE" w:eastAsia="el-GR"/>
              </w:rPr>
              <w:t>Herder Korrespondenz 54 2000, 32-38.</w:t>
            </w:r>
          </w:p>
          <w:bookmarkStart w:id="33" w:name="_ftn12"/>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"_ftnref12"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[12]</w:t>
            </w:r>
            <w:r w:rsidRPr="009A5F9D">
              <w:rPr>
                <w:rFonts w:ascii="Verdana" w:eastAsia="Times New Roman" w:hAnsi="Verdana" w:cs="Times New Roman"/>
                <w:sz w:val="20"/>
                <w:szCs w:val="20"/>
                <w:lang w:eastAsia="el-GR"/>
              </w:rPr>
              <w:fldChar w:fldCharType="end"/>
            </w:r>
            <w:bookmarkEnd w:id="33"/>
            <w:r w:rsidRPr="009A5F9D">
              <w:rPr>
                <w:rFonts w:ascii="Verdana" w:eastAsia="Times New Roman" w:hAnsi="Verdana" w:cs="Times New Roman"/>
                <w:sz w:val="20"/>
                <w:szCs w:val="20"/>
                <w:lang w:val="de-DE" w:eastAsia="el-GR"/>
              </w:rPr>
              <w:t>  Vgl. Sauter, Gerhard, Einführung in die Eschatologie. Darmstadt: Wissenschaftliche Buchgesellschaft, 1995, 141.</w:t>
            </w:r>
          </w:p>
          <w:bookmarkStart w:id="34" w:name="_ftn13"/>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"_ftnref13"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[13]</w:t>
            </w:r>
            <w:r w:rsidRPr="009A5F9D">
              <w:rPr>
                <w:rFonts w:ascii="Verdana" w:eastAsia="Times New Roman" w:hAnsi="Verdana" w:cs="Times New Roman"/>
                <w:sz w:val="20"/>
                <w:szCs w:val="20"/>
                <w:lang w:eastAsia="el-GR"/>
              </w:rPr>
              <w:fldChar w:fldCharType="end"/>
            </w:r>
            <w:bookmarkEnd w:id="34"/>
            <w:r w:rsidRPr="009A5F9D">
              <w:rPr>
                <w:rFonts w:ascii="Verdana" w:eastAsia="Times New Roman" w:hAnsi="Verdana" w:cs="Times New Roman"/>
                <w:sz w:val="20"/>
                <w:szCs w:val="20"/>
                <w:lang w:val="de-DE" w:eastAsia="el-GR"/>
              </w:rPr>
              <w:t>  Vgl. Biesinger / Hänle (wie Anm. 5) 226.</w:t>
            </w:r>
          </w:p>
          <w:bookmarkStart w:id="35" w:name="_ftn14"/>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"_ftnref14"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[14]</w:t>
            </w:r>
            <w:r w:rsidRPr="009A5F9D">
              <w:rPr>
                <w:rFonts w:ascii="Verdana" w:eastAsia="Times New Roman" w:hAnsi="Verdana" w:cs="Times New Roman"/>
                <w:sz w:val="20"/>
                <w:szCs w:val="20"/>
                <w:lang w:eastAsia="el-GR"/>
              </w:rPr>
              <w:fldChar w:fldCharType="end"/>
            </w:r>
            <w:bookmarkEnd w:id="35"/>
            <w:r w:rsidRPr="009A5F9D">
              <w:rPr>
                <w:rFonts w:ascii="Verdana" w:eastAsia="Times New Roman" w:hAnsi="Verdana" w:cs="Times New Roman"/>
                <w:sz w:val="20"/>
                <w:szCs w:val="20"/>
                <w:lang w:val="de-DE" w:eastAsia="el-GR"/>
              </w:rPr>
              <w:t>  Vgl. Rupp (wie Anm. 4) 77.</w:t>
            </w:r>
          </w:p>
          <w:bookmarkStart w:id="36" w:name="_ftn15"/>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"_ftnref15"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[15]</w:t>
            </w:r>
            <w:r w:rsidRPr="009A5F9D">
              <w:rPr>
                <w:rFonts w:ascii="Verdana" w:eastAsia="Times New Roman" w:hAnsi="Verdana" w:cs="Times New Roman"/>
                <w:sz w:val="20"/>
                <w:szCs w:val="20"/>
                <w:lang w:eastAsia="el-GR"/>
              </w:rPr>
              <w:fldChar w:fldCharType="end"/>
            </w:r>
            <w:bookmarkEnd w:id="36"/>
            <w:r w:rsidRPr="009A5F9D">
              <w:rPr>
                <w:rFonts w:ascii="Verdana" w:eastAsia="Times New Roman" w:hAnsi="Verdana" w:cs="Times New Roman"/>
                <w:sz w:val="20"/>
                <w:szCs w:val="20"/>
                <w:lang w:val="de-DE" w:eastAsia="el-GR"/>
              </w:rPr>
              <w:t>  Biesinger / Hänle (wie Anm. 5) 216.</w:t>
            </w:r>
          </w:p>
          <w:bookmarkStart w:id="37" w:name="_ftn16"/>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"_ftnref16"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[16]</w:t>
            </w:r>
            <w:r w:rsidRPr="009A5F9D">
              <w:rPr>
                <w:rFonts w:ascii="Verdana" w:eastAsia="Times New Roman" w:hAnsi="Verdana" w:cs="Times New Roman"/>
                <w:sz w:val="20"/>
                <w:szCs w:val="20"/>
                <w:lang w:eastAsia="el-GR"/>
              </w:rPr>
              <w:fldChar w:fldCharType="end"/>
            </w:r>
            <w:bookmarkEnd w:id="37"/>
            <w:r w:rsidRPr="009A5F9D">
              <w:rPr>
                <w:rFonts w:ascii="Verdana" w:eastAsia="Times New Roman" w:hAnsi="Verdana" w:cs="Times New Roman"/>
                <w:sz w:val="20"/>
                <w:szCs w:val="20"/>
                <w:lang w:val="de-DE" w:eastAsia="el-GR"/>
              </w:rPr>
              <w:t>  Vgl. Rupp (wie Anm. 4) 78.</w:t>
            </w:r>
          </w:p>
          <w:bookmarkStart w:id="38" w:name="_ftn17"/>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"_ftnref17"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[17]</w:t>
            </w:r>
            <w:r w:rsidRPr="009A5F9D">
              <w:rPr>
                <w:rFonts w:ascii="Verdana" w:eastAsia="Times New Roman" w:hAnsi="Verdana" w:cs="Times New Roman"/>
                <w:sz w:val="20"/>
                <w:szCs w:val="20"/>
                <w:lang w:eastAsia="el-GR"/>
              </w:rPr>
              <w:fldChar w:fldCharType="end"/>
            </w:r>
            <w:bookmarkEnd w:id="38"/>
            <w:r w:rsidRPr="009A5F9D">
              <w:rPr>
                <w:rFonts w:ascii="Verdana" w:eastAsia="Times New Roman" w:hAnsi="Verdana" w:cs="Times New Roman"/>
                <w:sz w:val="20"/>
                <w:szCs w:val="20"/>
                <w:lang w:val="de-DE" w:eastAsia="el-GR"/>
              </w:rPr>
              <w:t xml:space="preserve">  Götz u.a. (wie Anm. 2) 71. </w:t>
            </w:r>
          </w:p>
          <w:bookmarkStart w:id="39" w:name="_ftn18"/>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"_ftnref18"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[18]</w:t>
            </w:r>
            <w:r w:rsidRPr="009A5F9D">
              <w:rPr>
                <w:rFonts w:ascii="Verdana" w:eastAsia="Times New Roman" w:hAnsi="Verdana" w:cs="Times New Roman"/>
                <w:sz w:val="20"/>
                <w:szCs w:val="20"/>
                <w:lang w:eastAsia="el-GR"/>
              </w:rPr>
              <w:fldChar w:fldCharType="end"/>
            </w:r>
            <w:bookmarkEnd w:id="39"/>
            <w:r w:rsidRPr="009A5F9D">
              <w:rPr>
                <w:rFonts w:ascii="Verdana" w:eastAsia="Times New Roman" w:hAnsi="Verdana" w:cs="Times New Roman"/>
                <w:sz w:val="20"/>
                <w:szCs w:val="20"/>
                <w:lang w:val="de-DE" w:eastAsia="el-GR"/>
              </w:rPr>
              <w:t xml:space="preserve">  Spaeth (wie Anm. 1) 7. </w:t>
            </w:r>
          </w:p>
          <w:bookmarkStart w:id="40" w:name="_ftn19"/>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"_ftnref19"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[19]</w:t>
            </w:r>
            <w:r w:rsidRPr="009A5F9D">
              <w:rPr>
                <w:rFonts w:ascii="Verdana" w:eastAsia="Times New Roman" w:hAnsi="Verdana" w:cs="Times New Roman"/>
                <w:sz w:val="20"/>
                <w:szCs w:val="20"/>
                <w:lang w:eastAsia="el-GR"/>
              </w:rPr>
              <w:fldChar w:fldCharType="end"/>
            </w:r>
            <w:bookmarkEnd w:id="40"/>
            <w:r w:rsidRPr="009A5F9D">
              <w:rPr>
                <w:rFonts w:ascii="Verdana" w:eastAsia="Times New Roman" w:hAnsi="Verdana" w:cs="Times New Roman"/>
                <w:sz w:val="20"/>
                <w:szCs w:val="20"/>
                <w:lang w:val="de-DE" w:eastAsia="el-GR"/>
              </w:rPr>
              <w:t>  Ebd.</w:t>
            </w:r>
          </w:p>
          <w:bookmarkStart w:id="41" w:name="_ftn20"/>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Verdana" w:eastAsia="Times New Roman" w:hAnsi="Verdana" w:cs="Times New Roman"/>
                <w:sz w:val="20"/>
                <w:szCs w:val="20"/>
                <w:lang w:eastAsia="el-GR"/>
              </w:rPr>
              <w:fldChar w:fldCharType="begin"/>
            </w:r>
            <w:r w:rsidRPr="009A5F9D">
              <w:rPr>
                <w:rFonts w:ascii="Verdana" w:eastAsia="Times New Roman" w:hAnsi="Verdana" w:cs="Times New Roman"/>
                <w:sz w:val="20"/>
                <w:szCs w:val="20"/>
                <w:lang w:val="de-DE" w:eastAsia="el-GR"/>
              </w:rPr>
              <w:instrText xml:space="preserve"> HYPERLINK "http://www.theophil-online.de/praxis/mfpraxi3.htm" \l "_ftnref20" \o "" </w:instrText>
            </w:r>
            <w:r w:rsidRPr="009A5F9D">
              <w:rPr>
                <w:rFonts w:ascii="Verdana" w:eastAsia="Times New Roman" w:hAnsi="Verdana" w:cs="Times New Roman"/>
                <w:sz w:val="20"/>
                <w:szCs w:val="20"/>
                <w:lang w:eastAsia="el-GR"/>
              </w:rPr>
              <w:fldChar w:fldCharType="separate"/>
            </w:r>
            <w:r w:rsidRPr="009A5F9D">
              <w:rPr>
                <w:rFonts w:ascii="Verdana" w:eastAsia="Times New Roman" w:hAnsi="Verdana" w:cs="Times New Roman"/>
                <w:color w:val="0000FF"/>
                <w:sz w:val="20"/>
                <w:u w:val="single"/>
                <w:lang w:val="de-DE" w:eastAsia="el-GR"/>
              </w:rPr>
              <w:t>[20]</w:t>
            </w:r>
            <w:r w:rsidRPr="009A5F9D">
              <w:rPr>
                <w:rFonts w:ascii="Verdana" w:eastAsia="Times New Roman" w:hAnsi="Verdana" w:cs="Times New Roman"/>
                <w:sz w:val="20"/>
                <w:szCs w:val="20"/>
                <w:lang w:eastAsia="el-GR"/>
              </w:rPr>
              <w:fldChar w:fldCharType="end"/>
            </w:r>
            <w:bookmarkEnd w:id="41"/>
            <w:r w:rsidRPr="009A5F9D">
              <w:rPr>
                <w:rFonts w:ascii="Verdana" w:eastAsia="Times New Roman" w:hAnsi="Verdana" w:cs="Times New Roman"/>
                <w:sz w:val="20"/>
                <w:szCs w:val="20"/>
                <w:lang w:val="de-DE" w:eastAsia="el-GR"/>
              </w:rPr>
              <w:t>  Vgl. Götz u.a. (wie Anm. 2) 80.</w:t>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r w:rsidRPr="009A5F9D">
              <w:rPr>
                <w:rFonts w:ascii="Times New Roman" w:eastAsia="Times New Roman" w:hAnsi="Times New Roman" w:cs="Times New Roman"/>
                <w:sz w:val="24"/>
                <w:szCs w:val="24"/>
                <w:lang w:val="de-DE" w:eastAsia="el-GR"/>
              </w:rPr>
              <w:t> </w:t>
            </w: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val="de-DE" w:eastAsia="el-GR"/>
              </w:rPr>
            </w:pP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r>
              <w:rPr>
                <w:rFonts w:ascii="Verdana" w:eastAsia="Times New Roman" w:hAnsi="Verdana" w:cs="Times New Roman"/>
                <w:noProof/>
                <w:color w:val="0000FF"/>
                <w:sz w:val="20"/>
                <w:szCs w:val="20"/>
                <w:lang w:eastAsia="el-GR"/>
              </w:rPr>
              <w:drawing>
                <wp:inline distT="0" distB="0" distL="0" distR="0">
                  <wp:extent cx="906145" cy="236855"/>
                  <wp:effectExtent l="19050" t="0" r="8255" b="0"/>
                  <wp:docPr id="4" name="Εικόνα 4" descr="http://www.theophil-online.de/Bilder/Sonstige/zur%FCck.gif">
                    <a:hlinkClick xmlns:a="http://schemas.openxmlformats.org/drawingml/2006/main" r:id="rId5"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ophil-online.de/Bilder/Sonstige/zur%FCck.gif">
                            <a:hlinkClick r:id="rId5" tgtFrame="&quot;_parent&quot;"/>
                          </pic:cNvPr>
                          <pic:cNvPicPr>
                            <a:picLocks noChangeAspect="1" noChangeArrowheads="1"/>
                          </pic:cNvPicPr>
                        </pic:nvPicPr>
                        <pic:blipFill>
                          <a:blip r:embed="rId6" cstate="print"/>
                          <a:srcRect/>
                          <a:stretch>
                            <a:fillRect/>
                          </a:stretch>
                        </pic:blipFill>
                        <pic:spPr bwMode="auto">
                          <a:xfrm>
                            <a:off x="0" y="0"/>
                            <a:ext cx="906145" cy="236855"/>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0"/>
                <w:szCs w:val="20"/>
                <w:lang w:eastAsia="el-GR"/>
              </w:rPr>
              <w:drawing>
                <wp:inline distT="0" distB="0" distL="0" distR="0">
                  <wp:extent cx="1143000" cy="236855"/>
                  <wp:effectExtent l="19050" t="0" r="0" b="0"/>
                  <wp:docPr id="5" name="Εικόνα 5" descr="http://www.theophil-online.de/Bilder/Sonstige/nachobe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ophil-online.de/Bilder/Sonstige/nachoben.gif">
                            <a:hlinkClick r:id="rId8"/>
                          </pic:cNvPr>
                          <pic:cNvPicPr>
                            <a:picLocks noChangeAspect="1" noChangeArrowheads="1"/>
                          </pic:cNvPicPr>
                        </pic:nvPicPr>
                        <pic:blipFill>
                          <a:blip r:embed="rId7" cstate="print"/>
                          <a:srcRect/>
                          <a:stretch>
                            <a:fillRect/>
                          </a:stretch>
                        </pic:blipFill>
                        <pic:spPr bwMode="auto">
                          <a:xfrm>
                            <a:off x="0" y="0"/>
                            <a:ext cx="1143000" cy="236855"/>
                          </a:xfrm>
                          <a:prstGeom prst="rect">
                            <a:avLst/>
                          </a:prstGeom>
                          <a:noFill/>
                          <a:ln w="9525">
                            <a:noFill/>
                            <a:miter lim="800000"/>
                            <a:headEnd/>
                            <a:tailEnd/>
                          </a:ln>
                        </pic:spPr>
                      </pic:pic>
                    </a:graphicData>
                  </a:graphic>
                </wp:inline>
              </w:drawing>
            </w: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r>
      <w:tr w:rsidR="009A5F9D" w:rsidRPr="009A5F9D" w:rsidTr="00E33473">
        <w:trPr>
          <w:tblCellSpacing w:w="0" w:type="dxa"/>
        </w:trPr>
        <w:tc>
          <w:tcPr>
            <w:tcW w:w="60"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c>
          <w:tcPr>
            <w:tcW w:w="9864"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c>
          <w:tcPr>
            <w:tcW w:w="156" w:type="dxa"/>
            <w:vAlign w:val="center"/>
            <w:hideMark/>
          </w:tcPr>
          <w:p w:rsidR="009A5F9D" w:rsidRPr="009A5F9D" w:rsidRDefault="009A5F9D" w:rsidP="00E33473">
            <w:pPr>
              <w:spacing w:after="0" w:line="240" w:lineRule="auto"/>
              <w:jc w:val="both"/>
              <w:rPr>
                <w:rFonts w:ascii="Times New Roman" w:eastAsia="Times New Roman" w:hAnsi="Times New Roman" w:cs="Times New Roman"/>
                <w:sz w:val="24"/>
                <w:szCs w:val="24"/>
                <w:lang w:eastAsia="el-GR"/>
              </w:rPr>
            </w:pPr>
          </w:p>
        </w:tc>
      </w:tr>
    </w:tbl>
    <w:p w:rsidR="0097355A" w:rsidRDefault="0097355A" w:rsidP="00E33473">
      <w:pPr>
        <w:jc w:val="both"/>
      </w:pPr>
    </w:p>
    <w:sectPr w:rsidR="0097355A" w:rsidSect="00E33473">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characterSpacingControl w:val="doNotCompress"/>
  <w:compat/>
  <w:rsids>
    <w:rsidRoot w:val="009A5F9D"/>
    <w:rsid w:val="00063A2A"/>
    <w:rsid w:val="002838DB"/>
    <w:rsid w:val="0097355A"/>
    <w:rsid w:val="009A5F9D"/>
    <w:rsid w:val="00AB1B6A"/>
    <w:rsid w:val="00D6019D"/>
    <w:rsid w:val="00E33473"/>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A5F9D"/>
    <w:rPr>
      <w:color w:val="0000FF"/>
      <w:u w:val="single"/>
    </w:rPr>
  </w:style>
  <w:style w:type="character" w:customStyle="1" w:styleId="webfunote">
    <w:name w:val="webfunote"/>
    <w:basedOn w:val="a0"/>
    <w:rsid w:val="009A5F9D"/>
  </w:style>
  <w:style w:type="paragraph" w:styleId="a3">
    <w:name w:val="Body Text"/>
    <w:basedOn w:val="a"/>
    <w:link w:val="Char"/>
    <w:uiPriority w:val="99"/>
    <w:unhideWhenUsed/>
    <w:rsid w:val="009A5F9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3"/>
    <w:uiPriority w:val="99"/>
    <w:rsid w:val="009A5F9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9A5F9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A5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681898">
      <w:bodyDiv w:val="1"/>
      <w:marLeft w:val="0"/>
      <w:marRight w:val="0"/>
      <w:marTop w:val="0"/>
      <w:marBottom w:val="0"/>
      <w:divBdr>
        <w:top w:val="none" w:sz="0" w:space="0" w:color="auto"/>
        <w:left w:val="none" w:sz="0" w:space="0" w:color="auto"/>
        <w:bottom w:val="none" w:sz="0" w:space="0" w:color="auto"/>
        <w:right w:val="none" w:sz="0" w:space="0" w:color="auto"/>
      </w:divBdr>
      <w:divsChild>
        <w:div w:id="272785582">
          <w:marLeft w:val="0"/>
          <w:marRight w:val="0"/>
          <w:marTop w:val="0"/>
          <w:marBottom w:val="0"/>
          <w:divBdr>
            <w:top w:val="none" w:sz="0" w:space="0" w:color="auto"/>
            <w:left w:val="none" w:sz="0" w:space="0" w:color="auto"/>
            <w:bottom w:val="none" w:sz="0" w:space="0" w:color="auto"/>
            <w:right w:val="none" w:sz="0" w:space="0" w:color="auto"/>
          </w:divBdr>
        </w:div>
        <w:div w:id="572080258">
          <w:marLeft w:val="0"/>
          <w:marRight w:val="0"/>
          <w:marTop w:val="0"/>
          <w:marBottom w:val="0"/>
          <w:divBdr>
            <w:top w:val="none" w:sz="0" w:space="0" w:color="auto"/>
            <w:left w:val="none" w:sz="0" w:space="0" w:color="auto"/>
            <w:bottom w:val="none" w:sz="0" w:space="0" w:color="auto"/>
            <w:right w:val="none" w:sz="0" w:space="0" w:color="auto"/>
          </w:divBdr>
        </w:div>
        <w:div w:id="1416510541">
          <w:marLeft w:val="0"/>
          <w:marRight w:val="0"/>
          <w:marTop w:val="0"/>
          <w:marBottom w:val="0"/>
          <w:divBdr>
            <w:top w:val="none" w:sz="0" w:space="0" w:color="auto"/>
            <w:left w:val="none" w:sz="0" w:space="0" w:color="auto"/>
            <w:bottom w:val="none" w:sz="0" w:space="0" w:color="auto"/>
            <w:right w:val="none" w:sz="0" w:space="0" w:color="auto"/>
          </w:divBdr>
        </w:div>
        <w:div w:id="1742362212">
          <w:marLeft w:val="0"/>
          <w:marRight w:val="0"/>
          <w:marTop w:val="0"/>
          <w:marBottom w:val="0"/>
          <w:divBdr>
            <w:top w:val="none" w:sz="0" w:space="0" w:color="auto"/>
            <w:left w:val="none" w:sz="0" w:space="0" w:color="auto"/>
            <w:bottom w:val="none" w:sz="0" w:space="0" w:color="auto"/>
            <w:right w:val="none" w:sz="0" w:space="0" w:color="auto"/>
          </w:divBdr>
        </w:div>
        <w:div w:id="1804738103">
          <w:marLeft w:val="0"/>
          <w:marRight w:val="0"/>
          <w:marTop w:val="0"/>
          <w:marBottom w:val="0"/>
          <w:divBdr>
            <w:top w:val="none" w:sz="0" w:space="0" w:color="auto"/>
            <w:left w:val="none" w:sz="0" w:space="0" w:color="auto"/>
            <w:bottom w:val="none" w:sz="0" w:space="0" w:color="auto"/>
            <w:right w:val="none" w:sz="0" w:space="0" w:color="auto"/>
          </w:divBdr>
        </w:div>
        <w:div w:id="1033992585">
          <w:marLeft w:val="0"/>
          <w:marRight w:val="0"/>
          <w:marTop w:val="0"/>
          <w:marBottom w:val="0"/>
          <w:divBdr>
            <w:top w:val="none" w:sz="0" w:space="0" w:color="auto"/>
            <w:left w:val="none" w:sz="0" w:space="0" w:color="auto"/>
            <w:bottom w:val="none" w:sz="0" w:space="0" w:color="auto"/>
            <w:right w:val="none" w:sz="0" w:space="0" w:color="auto"/>
          </w:divBdr>
        </w:div>
        <w:div w:id="914782499">
          <w:marLeft w:val="0"/>
          <w:marRight w:val="0"/>
          <w:marTop w:val="0"/>
          <w:marBottom w:val="0"/>
          <w:divBdr>
            <w:top w:val="none" w:sz="0" w:space="0" w:color="auto"/>
            <w:left w:val="none" w:sz="0" w:space="0" w:color="auto"/>
            <w:bottom w:val="none" w:sz="0" w:space="0" w:color="auto"/>
            <w:right w:val="none" w:sz="0" w:space="0" w:color="auto"/>
          </w:divBdr>
        </w:div>
        <w:div w:id="1699233795">
          <w:marLeft w:val="0"/>
          <w:marRight w:val="0"/>
          <w:marTop w:val="0"/>
          <w:marBottom w:val="0"/>
          <w:divBdr>
            <w:top w:val="none" w:sz="0" w:space="0" w:color="auto"/>
            <w:left w:val="none" w:sz="0" w:space="0" w:color="auto"/>
            <w:bottom w:val="none" w:sz="0" w:space="0" w:color="auto"/>
            <w:right w:val="none" w:sz="0" w:space="0" w:color="auto"/>
          </w:divBdr>
        </w:div>
        <w:div w:id="1613367174">
          <w:marLeft w:val="0"/>
          <w:marRight w:val="0"/>
          <w:marTop w:val="0"/>
          <w:marBottom w:val="0"/>
          <w:divBdr>
            <w:top w:val="none" w:sz="0" w:space="0" w:color="auto"/>
            <w:left w:val="none" w:sz="0" w:space="0" w:color="auto"/>
            <w:bottom w:val="none" w:sz="0" w:space="0" w:color="auto"/>
            <w:right w:val="none" w:sz="0" w:space="0" w:color="auto"/>
          </w:divBdr>
        </w:div>
        <w:div w:id="381296290">
          <w:marLeft w:val="0"/>
          <w:marRight w:val="0"/>
          <w:marTop w:val="0"/>
          <w:marBottom w:val="0"/>
          <w:divBdr>
            <w:top w:val="none" w:sz="0" w:space="0" w:color="auto"/>
            <w:left w:val="none" w:sz="0" w:space="0" w:color="auto"/>
            <w:bottom w:val="none" w:sz="0" w:space="0" w:color="auto"/>
            <w:right w:val="none" w:sz="0" w:space="0" w:color="auto"/>
          </w:divBdr>
        </w:div>
        <w:div w:id="740718317">
          <w:marLeft w:val="0"/>
          <w:marRight w:val="0"/>
          <w:marTop w:val="0"/>
          <w:marBottom w:val="0"/>
          <w:divBdr>
            <w:top w:val="none" w:sz="0" w:space="0" w:color="auto"/>
            <w:left w:val="none" w:sz="0" w:space="0" w:color="auto"/>
            <w:bottom w:val="none" w:sz="0" w:space="0" w:color="auto"/>
            <w:right w:val="none" w:sz="0" w:space="0" w:color="auto"/>
          </w:divBdr>
        </w:div>
        <w:div w:id="185021442">
          <w:marLeft w:val="0"/>
          <w:marRight w:val="0"/>
          <w:marTop w:val="0"/>
          <w:marBottom w:val="0"/>
          <w:divBdr>
            <w:top w:val="none" w:sz="0" w:space="0" w:color="auto"/>
            <w:left w:val="none" w:sz="0" w:space="0" w:color="auto"/>
            <w:bottom w:val="none" w:sz="0" w:space="0" w:color="auto"/>
            <w:right w:val="none" w:sz="0" w:space="0" w:color="auto"/>
          </w:divBdr>
        </w:div>
        <w:div w:id="1221748870">
          <w:marLeft w:val="0"/>
          <w:marRight w:val="0"/>
          <w:marTop w:val="0"/>
          <w:marBottom w:val="0"/>
          <w:divBdr>
            <w:top w:val="none" w:sz="0" w:space="0" w:color="auto"/>
            <w:left w:val="none" w:sz="0" w:space="0" w:color="auto"/>
            <w:bottom w:val="none" w:sz="0" w:space="0" w:color="auto"/>
            <w:right w:val="none" w:sz="0" w:space="0" w:color="auto"/>
          </w:divBdr>
        </w:div>
        <w:div w:id="43648805">
          <w:marLeft w:val="0"/>
          <w:marRight w:val="0"/>
          <w:marTop w:val="0"/>
          <w:marBottom w:val="0"/>
          <w:divBdr>
            <w:top w:val="none" w:sz="0" w:space="0" w:color="auto"/>
            <w:left w:val="none" w:sz="0" w:space="0" w:color="auto"/>
            <w:bottom w:val="none" w:sz="0" w:space="0" w:color="auto"/>
            <w:right w:val="none" w:sz="0" w:space="0" w:color="auto"/>
          </w:divBdr>
        </w:div>
        <w:div w:id="628556968">
          <w:marLeft w:val="0"/>
          <w:marRight w:val="0"/>
          <w:marTop w:val="0"/>
          <w:marBottom w:val="0"/>
          <w:divBdr>
            <w:top w:val="none" w:sz="0" w:space="0" w:color="auto"/>
            <w:left w:val="none" w:sz="0" w:space="0" w:color="auto"/>
            <w:bottom w:val="none" w:sz="0" w:space="0" w:color="auto"/>
            <w:right w:val="none" w:sz="0" w:space="0" w:color="auto"/>
          </w:divBdr>
        </w:div>
        <w:div w:id="413207281">
          <w:marLeft w:val="0"/>
          <w:marRight w:val="0"/>
          <w:marTop w:val="0"/>
          <w:marBottom w:val="0"/>
          <w:divBdr>
            <w:top w:val="none" w:sz="0" w:space="0" w:color="auto"/>
            <w:left w:val="none" w:sz="0" w:space="0" w:color="auto"/>
            <w:bottom w:val="none" w:sz="0" w:space="0" w:color="auto"/>
            <w:right w:val="none" w:sz="0" w:space="0" w:color="auto"/>
          </w:divBdr>
        </w:div>
        <w:div w:id="960767647">
          <w:marLeft w:val="0"/>
          <w:marRight w:val="0"/>
          <w:marTop w:val="0"/>
          <w:marBottom w:val="0"/>
          <w:divBdr>
            <w:top w:val="none" w:sz="0" w:space="0" w:color="auto"/>
            <w:left w:val="none" w:sz="0" w:space="0" w:color="auto"/>
            <w:bottom w:val="none" w:sz="0" w:space="0" w:color="auto"/>
            <w:right w:val="none" w:sz="0" w:space="0" w:color="auto"/>
          </w:divBdr>
        </w:div>
        <w:div w:id="1175147503">
          <w:marLeft w:val="0"/>
          <w:marRight w:val="0"/>
          <w:marTop w:val="0"/>
          <w:marBottom w:val="0"/>
          <w:divBdr>
            <w:top w:val="none" w:sz="0" w:space="0" w:color="auto"/>
            <w:left w:val="none" w:sz="0" w:space="0" w:color="auto"/>
            <w:bottom w:val="none" w:sz="0" w:space="0" w:color="auto"/>
            <w:right w:val="none" w:sz="0" w:space="0" w:color="auto"/>
          </w:divBdr>
        </w:div>
        <w:div w:id="188840318">
          <w:marLeft w:val="0"/>
          <w:marRight w:val="0"/>
          <w:marTop w:val="0"/>
          <w:marBottom w:val="0"/>
          <w:divBdr>
            <w:top w:val="none" w:sz="0" w:space="0" w:color="auto"/>
            <w:left w:val="none" w:sz="0" w:space="0" w:color="auto"/>
            <w:bottom w:val="none" w:sz="0" w:space="0" w:color="auto"/>
            <w:right w:val="none" w:sz="0" w:space="0" w:color="auto"/>
          </w:divBdr>
        </w:div>
        <w:div w:id="16937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ophil-online.de/praxis/mfpraxi3.htm"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theophil-online.de/praxis/praxis.htm" TargetMode="External"/><Relationship Id="rId10" Type="http://schemas.openxmlformats.org/officeDocument/2006/relationships/theme" Target="theme/theme1.xml"/><Relationship Id="rId4" Type="http://schemas.openxmlformats.org/officeDocument/2006/relationships/hyperlink" Target="http://www.theophil-online.de/praxis/mfpraxi3.htm"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3436</Words>
  <Characters>18560</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2012-05-02T10:56:00Z</dcterms:created>
  <dcterms:modified xsi:type="dcterms:W3CDTF">2012-05-02T14:08:00Z</dcterms:modified>
</cp:coreProperties>
</file>